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9B8D0" w14:textId="77777777" w:rsidR="00B450F4" w:rsidRPr="00D166E5" w:rsidRDefault="00B450F4" w:rsidP="00B450F4">
      <w:pPr>
        <w:jc w:val="both"/>
        <w:rPr>
          <w:rFonts w:ascii="Arial" w:eastAsia="Calibri" w:hAnsi="Arial" w:cs="Arial"/>
          <w:b/>
          <w:bCs/>
          <w:lang w:val="es-ES"/>
        </w:rPr>
      </w:pPr>
    </w:p>
    <w:tbl>
      <w:tblPr>
        <w:tblStyle w:val="TableGrid"/>
        <w:tblW w:w="10178" w:type="dxa"/>
        <w:tblInd w:w="-5" w:type="dxa"/>
        <w:tblLook w:val="04A0" w:firstRow="1" w:lastRow="0" w:firstColumn="1" w:lastColumn="0" w:noHBand="0" w:noVBand="1"/>
      </w:tblPr>
      <w:tblGrid>
        <w:gridCol w:w="1985"/>
        <w:gridCol w:w="1984"/>
        <w:gridCol w:w="3799"/>
        <w:gridCol w:w="2410"/>
      </w:tblGrid>
      <w:tr w:rsidR="00B450F4" w:rsidRPr="00D166E5" w14:paraId="3048CECE" w14:textId="77777777" w:rsidTr="006D6794">
        <w:tc>
          <w:tcPr>
            <w:tcW w:w="1985" w:type="dxa"/>
            <w:shd w:val="clear" w:color="auto" w:fill="0070C0"/>
            <w:vAlign w:val="center"/>
          </w:tcPr>
          <w:p w14:paraId="4263D370" w14:textId="77777777" w:rsidR="00B450F4" w:rsidRPr="00D166E5" w:rsidRDefault="00B450F4" w:rsidP="006D6794">
            <w:pPr>
              <w:jc w:val="center"/>
              <w:rPr>
                <w:rFonts w:ascii="Arial" w:eastAsia="Calibri" w:hAnsi="Arial" w:cs="Arial"/>
                <w:color w:val="FFFFFF"/>
                <w:lang w:val="es-ES"/>
              </w:rPr>
            </w:pPr>
            <w:r w:rsidRPr="00D166E5">
              <w:rPr>
                <w:rFonts w:ascii="Arial" w:eastAsia="Calibri" w:hAnsi="Arial" w:cs="Arial"/>
                <w:color w:val="FFFFFF"/>
                <w:lang w:val="es-ES"/>
              </w:rPr>
              <w:t>Dominio (s)</w:t>
            </w:r>
          </w:p>
        </w:tc>
        <w:tc>
          <w:tcPr>
            <w:tcW w:w="1984" w:type="dxa"/>
            <w:shd w:val="clear" w:color="auto" w:fill="0070C0"/>
            <w:vAlign w:val="center"/>
          </w:tcPr>
          <w:p w14:paraId="0AB33B4B" w14:textId="77777777" w:rsidR="00B450F4" w:rsidRPr="00D166E5" w:rsidRDefault="00B450F4" w:rsidP="006D6794">
            <w:pPr>
              <w:jc w:val="center"/>
              <w:rPr>
                <w:rFonts w:ascii="Arial" w:eastAsia="Calibri" w:hAnsi="Arial" w:cs="Arial"/>
                <w:color w:val="FFFFFF"/>
                <w:lang w:val="es-ES"/>
              </w:rPr>
            </w:pPr>
            <w:r w:rsidRPr="00D166E5">
              <w:rPr>
                <w:rFonts w:ascii="Arial" w:eastAsia="Calibri" w:hAnsi="Arial" w:cs="Arial"/>
                <w:color w:val="FFFFFF"/>
                <w:lang w:val="es-ES"/>
              </w:rPr>
              <w:t>Principio(s)</w:t>
            </w:r>
          </w:p>
        </w:tc>
        <w:tc>
          <w:tcPr>
            <w:tcW w:w="3799" w:type="dxa"/>
            <w:shd w:val="clear" w:color="auto" w:fill="0070C0"/>
            <w:vAlign w:val="center"/>
          </w:tcPr>
          <w:p w14:paraId="40585BA5" w14:textId="77777777" w:rsidR="00B450F4" w:rsidRPr="00D166E5" w:rsidRDefault="00B450F4" w:rsidP="006D6794">
            <w:pPr>
              <w:jc w:val="center"/>
              <w:rPr>
                <w:rFonts w:ascii="Arial" w:eastAsia="Calibri" w:hAnsi="Arial" w:cs="Arial"/>
                <w:color w:val="FFFFFF"/>
                <w:lang w:val="es-ES"/>
              </w:rPr>
            </w:pPr>
            <w:r w:rsidRPr="00D166E5">
              <w:rPr>
                <w:rFonts w:ascii="Arial" w:eastAsia="Calibri" w:hAnsi="Arial" w:cs="Arial"/>
                <w:color w:val="FFFFFF"/>
                <w:lang w:val="es-ES"/>
              </w:rPr>
              <w:t>Norma(s)</w:t>
            </w:r>
          </w:p>
        </w:tc>
        <w:tc>
          <w:tcPr>
            <w:tcW w:w="2410" w:type="dxa"/>
            <w:shd w:val="clear" w:color="auto" w:fill="0070C0"/>
            <w:vAlign w:val="center"/>
          </w:tcPr>
          <w:p w14:paraId="18C09CB7" w14:textId="279BDEFE" w:rsidR="00B450F4" w:rsidRPr="00D166E5" w:rsidRDefault="00B450F4" w:rsidP="006D6794">
            <w:pPr>
              <w:jc w:val="center"/>
              <w:rPr>
                <w:rFonts w:ascii="Arial" w:eastAsia="Calibri" w:hAnsi="Arial" w:cs="Arial"/>
                <w:color w:val="FFFFFF"/>
                <w:lang w:val="es-ES"/>
              </w:rPr>
            </w:pPr>
            <w:r w:rsidRPr="00D166E5">
              <w:rPr>
                <w:rFonts w:ascii="Arial" w:eastAsia="Calibri" w:hAnsi="Arial" w:cs="Arial"/>
                <w:color w:val="FFFFFF"/>
                <w:lang w:val="es-ES"/>
              </w:rPr>
              <w:t>Documentos CAIGG relacionados</w:t>
            </w:r>
          </w:p>
        </w:tc>
      </w:tr>
      <w:tr w:rsidR="00B450F4" w:rsidRPr="00D166E5" w14:paraId="314720BC" w14:textId="77777777" w:rsidTr="007437F1">
        <w:trPr>
          <w:trHeight w:val="380"/>
        </w:trPr>
        <w:tc>
          <w:tcPr>
            <w:tcW w:w="1985" w:type="dxa"/>
            <w:vMerge w:val="restart"/>
          </w:tcPr>
          <w:p w14:paraId="743282C2" w14:textId="77777777" w:rsidR="00B450F4" w:rsidRDefault="00B450F4" w:rsidP="007437F1">
            <w:pPr>
              <w:jc w:val="both"/>
              <w:rPr>
                <w:rFonts w:ascii="Arial" w:eastAsia="Calibri" w:hAnsi="Arial" w:cs="Arial"/>
                <w:lang w:val="es-ES"/>
              </w:rPr>
            </w:pPr>
          </w:p>
          <w:p w14:paraId="50CF4915" w14:textId="77777777" w:rsidR="00B450F4" w:rsidRPr="00D166E5" w:rsidRDefault="00B450F4" w:rsidP="007437F1">
            <w:pPr>
              <w:jc w:val="both"/>
              <w:rPr>
                <w:rFonts w:ascii="Arial" w:eastAsia="Calibri" w:hAnsi="Arial" w:cs="Arial"/>
                <w:lang w:val="es-ES"/>
              </w:rPr>
            </w:pPr>
          </w:p>
          <w:p w14:paraId="3B33872A" w14:textId="77777777" w:rsidR="00B450F4" w:rsidRPr="00D166E5" w:rsidRDefault="00B450F4" w:rsidP="007437F1">
            <w:pPr>
              <w:jc w:val="both"/>
              <w:rPr>
                <w:rFonts w:ascii="Arial" w:eastAsia="Calibri" w:hAnsi="Arial" w:cs="Arial"/>
                <w:lang w:val="es-ES"/>
              </w:rPr>
            </w:pPr>
            <w:r w:rsidRPr="00D166E5">
              <w:rPr>
                <w:rFonts w:ascii="Arial" w:eastAsia="Calibri" w:hAnsi="Arial" w:cs="Arial"/>
                <w:lang w:val="es-ES"/>
              </w:rPr>
              <w:t>Dominio II: Ética y profesionalidad</w:t>
            </w:r>
          </w:p>
        </w:tc>
        <w:tc>
          <w:tcPr>
            <w:tcW w:w="1984" w:type="dxa"/>
            <w:vMerge w:val="restart"/>
          </w:tcPr>
          <w:p w14:paraId="42D53C9C" w14:textId="77777777" w:rsidR="00B450F4" w:rsidRPr="00D166E5" w:rsidRDefault="00B450F4" w:rsidP="007437F1">
            <w:pPr>
              <w:jc w:val="center"/>
              <w:rPr>
                <w:rFonts w:ascii="Arial" w:eastAsia="Calibri" w:hAnsi="Arial" w:cs="Arial"/>
                <w:lang w:val="es-ES"/>
              </w:rPr>
            </w:pPr>
          </w:p>
          <w:p w14:paraId="09830B29" w14:textId="439ACA73" w:rsidR="00B450F4" w:rsidRPr="00D166E5" w:rsidRDefault="00B450F4" w:rsidP="007437F1">
            <w:pPr>
              <w:jc w:val="center"/>
              <w:rPr>
                <w:rFonts w:ascii="Arial" w:eastAsia="Calibri" w:hAnsi="Arial" w:cs="Arial"/>
                <w:lang w:val="es-ES"/>
              </w:rPr>
            </w:pPr>
            <w:r w:rsidRPr="00D166E5">
              <w:rPr>
                <w:rFonts w:ascii="Arial" w:eastAsia="Calibri" w:hAnsi="Arial" w:cs="Arial"/>
                <w:lang w:val="es-ES"/>
              </w:rPr>
              <w:t xml:space="preserve">Principio </w:t>
            </w:r>
            <w:r w:rsidR="00EA6E40">
              <w:rPr>
                <w:rFonts w:ascii="Arial" w:eastAsia="Calibri" w:hAnsi="Arial" w:cs="Arial"/>
                <w:lang w:val="es-ES"/>
              </w:rPr>
              <w:t>4</w:t>
            </w:r>
            <w:r w:rsidRPr="00D166E5">
              <w:rPr>
                <w:rFonts w:ascii="Arial" w:eastAsia="Calibri" w:hAnsi="Arial" w:cs="Arial"/>
                <w:lang w:val="es-ES"/>
              </w:rPr>
              <w:t xml:space="preserve">: </w:t>
            </w:r>
            <w:r w:rsidR="00A75A72" w:rsidRPr="00A75A72">
              <w:rPr>
                <w:rFonts w:ascii="Arial" w:eastAsia="Calibri" w:hAnsi="Arial" w:cs="Arial"/>
                <w:lang w:val="es-ES"/>
              </w:rPr>
              <w:t>Ejercer el debido cuidado profesional</w:t>
            </w:r>
          </w:p>
        </w:tc>
        <w:tc>
          <w:tcPr>
            <w:tcW w:w="3799" w:type="dxa"/>
          </w:tcPr>
          <w:p w14:paraId="5C316792" w14:textId="2FF15460" w:rsidR="00EA6E40" w:rsidRPr="00EA6E40" w:rsidRDefault="00EA6E40" w:rsidP="00EA6E40">
            <w:pPr>
              <w:jc w:val="both"/>
              <w:rPr>
                <w:rFonts w:ascii="Arial" w:eastAsia="Calibri" w:hAnsi="Arial" w:cs="Arial"/>
                <w:lang w:val="es-ES"/>
              </w:rPr>
            </w:pPr>
            <w:r w:rsidRPr="00EA6E40">
              <w:rPr>
                <w:rFonts w:ascii="Arial" w:eastAsia="Calibri" w:hAnsi="Arial" w:cs="Arial"/>
                <w:lang w:val="es-ES"/>
              </w:rPr>
              <w:t>4.1: Conformidad con las Normas.</w:t>
            </w:r>
          </w:p>
          <w:p w14:paraId="034FD93F" w14:textId="2B45826E" w:rsidR="00B450F4" w:rsidRPr="00D166E5" w:rsidRDefault="00B450F4" w:rsidP="00EA6E40">
            <w:pPr>
              <w:jc w:val="both"/>
              <w:rPr>
                <w:rFonts w:ascii="Arial" w:eastAsia="Calibri" w:hAnsi="Arial" w:cs="Arial"/>
                <w:lang w:val="es-ES"/>
              </w:rPr>
            </w:pPr>
          </w:p>
        </w:tc>
        <w:tc>
          <w:tcPr>
            <w:tcW w:w="2410" w:type="dxa"/>
            <w:vMerge w:val="restart"/>
            <w:vAlign w:val="center"/>
          </w:tcPr>
          <w:p w14:paraId="294E05F4" w14:textId="77777777" w:rsidR="00B450F4" w:rsidRPr="00D166E5" w:rsidRDefault="00B450F4" w:rsidP="007437F1">
            <w:pPr>
              <w:jc w:val="center"/>
              <w:rPr>
                <w:rFonts w:ascii="Arial" w:eastAsia="Calibri" w:hAnsi="Arial" w:cs="Arial"/>
                <w:lang w:val="es-ES"/>
              </w:rPr>
            </w:pPr>
            <w:r w:rsidRPr="00D166E5">
              <w:rPr>
                <w:rFonts w:ascii="Arial" w:eastAsia="Calibri" w:hAnsi="Arial" w:cs="Arial"/>
                <w:lang w:val="es-ES"/>
              </w:rPr>
              <w:t>……</w:t>
            </w:r>
          </w:p>
        </w:tc>
      </w:tr>
      <w:tr w:rsidR="00B450F4" w:rsidRPr="00D166E5" w14:paraId="70DD528E" w14:textId="77777777" w:rsidTr="007437F1">
        <w:trPr>
          <w:trHeight w:val="398"/>
        </w:trPr>
        <w:tc>
          <w:tcPr>
            <w:tcW w:w="1985" w:type="dxa"/>
            <w:vMerge/>
          </w:tcPr>
          <w:p w14:paraId="10BF9488" w14:textId="77777777" w:rsidR="00B450F4" w:rsidRPr="00D166E5" w:rsidRDefault="00B450F4" w:rsidP="007437F1">
            <w:pPr>
              <w:jc w:val="both"/>
              <w:rPr>
                <w:rFonts w:ascii="Arial" w:eastAsia="Calibri" w:hAnsi="Arial" w:cs="Arial"/>
                <w:lang w:val="es-ES"/>
              </w:rPr>
            </w:pPr>
          </w:p>
        </w:tc>
        <w:tc>
          <w:tcPr>
            <w:tcW w:w="1984" w:type="dxa"/>
            <w:vMerge/>
          </w:tcPr>
          <w:p w14:paraId="20B1DCC8" w14:textId="77777777" w:rsidR="00B450F4" w:rsidRPr="00D166E5" w:rsidRDefault="00B450F4" w:rsidP="007437F1">
            <w:pPr>
              <w:jc w:val="center"/>
              <w:rPr>
                <w:rFonts w:ascii="Arial" w:eastAsia="Calibri" w:hAnsi="Arial" w:cs="Arial"/>
                <w:lang w:val="es-ES"/>
              </w:rPr>
            </w:pPr>
          </w:p>
        </w:tc>
        <w:tc>
          <w:tcPr>
            <w:tcW w:w="3799" w:type="dxa"/>
          </w:tcPr>
          <w:p w14:paraId="24A9902D" w14:textId="77777777" w:rsidR="00EA6E40" w:rsidRPr="00EA6E40" w:rsidRDefault="00EA6E40" w:rsidP="00EA6E40">
            <w:pPr>
              <w:jc w:val="both"/>
              <w:rPr>
                <w:rFonts w:ascii="Arial" w:eastAsia="Calibri" w:hAnsi="Arial" w:cs="Arial"/>
                <w:lang w:val="es-ES"/>
              </w:rPr>
            </w:pPr>
            <w:r w:rsidRPr="00EA6E40">
              <w:rPr>
                <w:rFonts w:ascii="Arial" w:eastAsia="Calibri" w:hAnsi="Arial" w:cs="Arial"/>
                <w:lang w:val="es-ES"/>
              </w:rPr>
              <w:t>4.2: Debido Cuidado Profesional.</w:t>
            </w:r>
          </w:p>
          <w:p w14:paraId="626FA10C" w14:textId="257CFF53" w:rsidR="00B450F4" w:rsidRPr="00D166E5" w:rsidRDefault="00B450F4" w:rsidP="00EA6E40">
            <w:pPr>
              <w:jc w:val="both"/>
              <w:rPr>
                <w:rFonts w:ascii="Arial" w:eastAsia="Calibri" w:hAnsi="Arial" w:cs="Arial"/>
                <w:lang w:val="es-ES"/>
              </w:rPr>
            </w:pPr>
          </w:p>
        </w:tc>
        <w:tc>
          <w:tcPr>
            <w:tcW w:w="2410" w:type="dxa"/>
            <w:vMerge/>
          </w:tcPr>
          <w:p w14:paraId="6F8232A2" w14:textId="77777777" w:rsidR="00B450F4" w:rsidRPr="00D166E5" w:rsidRDefault="00B450F4" w:rsidP="007437F1">
            <w:pPr>
              <w:jc w:val="center"/>
              <w:rPr>
                <w:rFonts w:ascii="Arial" w:eastAsia="Calibri" w:hAnsi="Arial" w:cs="Arial"/>
                <w:lang w:val="es-ES"/>
              </w:rPr>
            </w:pPr>
          </w:p>
        </w:tc>
      </w:tr>
      <w:tr w:rsidR="00B450F4" w:rsidRPr="00D166E5" w14:paraId="35E64223" w14:textId="77777777" w:rsidTr="00EA6E40">
        <w:trPr>
          <w:trHeight w:val="338"/>
        </w:trPr>
        <w:tc>
          <w:tcPr>
            <w:tcW w:w="1985" w:type="dxa"/>
            <w:vMerge/>
          </w:tcPr>
          <w:p w14:paraId="75B50C64" w14:textId="77777777" w:rsidR="00B450F4" w:rsidRPr="00D166E5" w:rsidRDefault="00B450F4" w:rsidP="007437F1">
            <w:pPr>
              <w:jc w:val="both"/>
              <w:rPr>
                <w:rFonts w:ascii="Arial" w:eastAsia="Calibri" w:hAnsi="Arial" w:cs="Arial"/>
                <w:lang w:val="es-ES"/>
              </w:rPr>
            </w:pPr>
          </w:p>
        </w:tc>
        <w:tc>
          <w:tcPr>
            <w:tcW w:w="1984" w:type="dxa"/>
            <w:vMerge/>
          </w:tcPr>
          <w:p w14:paraId="3DA94D71" w14:textId="77777777" w:rsidR="00B450F4" w:rsidRPr="00D166E5" w:rsidRDefault="00B450F4" w:rsidP="007437F1">
            <w:pPr>
              <w:jc w:val="center"/>
              <w:rPr>
                <w:rFonts w:ascii="Arial" w:eastAsia="Calibri" w:hAnsi="Arial" w:cs="Arial"/>
                <w:lang w:val="es-ES"/>
              </w:rPr>
            </w:pPr>
          </w:p>
        </w:tc>
        <w:tc>
          <w:tcPr>
            <w:tcW w:w="3799" w:type="dxa"/>
          </w:tcPr>
          <w:p w14:paraId="230CBE4C" w14:textId="475BDC82" w:rsidR="00B450F4" w:rsidRPr="00D166E5" w:rsidRDefault="00EA6E40" w:rsidP="007437F1">
            <w:pPr>
              <w:jc w:val="both"/>
              <w:rPr>
                <w:rFonts w:ascii="Arial" w:eastAsia="Calibri" w:hAnsi="Arial" w:cs="Arial"/>
                <w:lang w:val="es-ES"/>
              </w:rPr>
            </w:pPr>
            <w:r w:rsidRPr="00EA6E40">
              <w:rPr>
                <w:rFonts w:ascii="Arial" w:eastAsia="Calibri" w:hAnsi="Arial" w:cs="Arial"/>
                <w:lang w:val="es-ES"/>
              </w:rPr>
              <w:t>4.3: Escepticismo Profesional.</w:t>
            </w:r>
          </w:p>
        </w:tc>
        <w:tc>
          <w:tcPr>
            <w:tcW w:w="2410" w:type="dxa"/>
            <w:vMerge/>
          </w:tcPr>
          <w:p w14:paraId="3AED1FB5" w14:textId="77777777" w:rsidR="00B450F4" w:rsidRPr="00D166E5" w:rsidRDefault="00B450F4" w:rsidP="007437F1">
            <w:pPr>
              <w:jc w:val="center"/>
              <w:rPr>
                <w:rFonts w:ascii="Arial" w:eastAsia="Calibri" w:hAnsi="Arial" w:cs="Arial"/>
                <w:lang w:val="es-ES"/>
              </w:rPr>
            </w:pPr>
          </w:p>
        </w:tc>
      </w:tr>
      <w:tr w:rsidR="006537E3" w:rsidRPr="00D166E5" w14:paraId="1B6CDBE1" w14:textId="77777777" w:rsidTr="00553A3C">
        <w:trPr>
          <w:trHeight w:val="338"/>
        </w:trPr>
        <w:tc>
          <w:tcPr>
            <w:tcW w:w="1985" w:type="dxa"/>
            <w:vAlign w:val="center"/>
          </w:tcPr>
          <w:p w14:paraId="51CDBE2C" w14:textId="77777777" w:rsidR="006537E3" w:rsidRPr="00104E6D" w:rsidRDefault="006537E3" w:rsidP="006537E3">
            <w:pPr>
              <w:jc w:val="center"/>
              <w:rPr>
                <w:rFonts w:ascii="Arial" w:eastAsia="Calibri" w:hAnsi="Arial" w:cs="Arial"/>
                <w:lang w:val="es-ES"/>
              </w:rPr>
            </w:pPr>
            <w:r w:rsidRPr="00104E6D">
              <w:rPr>
                <w:rFonts w:ascii="Arial" w:eastAsia="Calibri" w:hAnsi="Arial" w:cs="Arial"/>
                <w:lang w:val="es-ES"/>
              </w:rPr>
              <w:t>Dominio IV:</w:t>
            </w:r>
          </w:p>
          <w:p w14:paraId="5D05749A" w14:textId="77777777" w:rsidR="006537E3" w:rsidRPr="00104E6D" w:rsidRDefault="006537E3" w:rsidP="006537E3">
            <w:pPr>
              <w:jc w:val="center"/>
              <w:rPr>
                <w:rFonts w:ascii="Arial" w:eastAsia="Calibri" w:hAnsi="Arial" w:cs="Arial"/>
                <w:lang w:val="es-ES"/>
              </w:rPr>
            </w:pPr>
            <w:r w:rsidRPr="00104E6D">
              <w:rPr>
                <w:rFonts w:ascii="Arial" w:eastAsia="Calibri" w:hAnsi="Arial" w:cs="Arial"/>
                <w:lang w:val="es-ES"/>
              </w:rPr>
              <w:t>Gestión de la Función</w:t>
            </w:r>
          </w:p>
          <w:p w14:paraId="355710E3" w14:textId="77777777" w:rsidR="006537E3" w:rsidRDefault="006537E3" w:rsidP="006537E3">
            <w:pPr>
              <w:jc w:val="both"/>
              <w:rPr>
                <w:rFonts w:ascii="Arial" w:eastAsia="Calibri" w:hAnsi="Arial" w:cs="Arial"/>
                <w:lang w:val="es-ES"/>
              </w:rPr>
            </w:pPr>
            <w:r w:rsidRPr="00104E6D">
              <w:rPr>
                <w:rFonts w:ascii="Arial" w:eastAsia="Calibri" w:hAnsi="Arial" w:cs="Arial"/>
                <w:lang w:val="es-ES"/>
              </w:rPr>
              <w:t>de Auditoría Interna</w:t>
            </w:r>
          </w:p>
          <w:p w14:paraId="1360D74F" w14:textId="77777777" w:rsidR="006537E3" w:rsidRPr="00D166E5" w:rsidRDefault="006537E3" w:rsidP="006537E3">
            <w:pPr>
              <w:jc w:val="both"/>
              <w:rPr>
                <w:rFonts w:ascii="Arial" w:eastAsia="Calibri" w:hAnsi="Arial" w:cs="Arial"/>
                <w:lang w:val="es-ES"/>
              </w:rPr>
            </w:pPr>
          </w:p>
        </w:tc>
        <w:tc>
          <w:tcPr>
            <w:tcW w:w="1984" w:type="dxa"/>
            <w:vAlign w:val="center"/>
          </w:tcPr>
          <w:p w14:paraId="0530AA80" w14:textId="682F9F3E" w:rsidR="006537E3" w:rsidRPr="00D166E5" w:rsidRDefault="006537E3" w:rsidP="006537E3">
            <w:pPr>
              <w:jc w:val="center"/>
              <w:rPr>
                <w:rFonts w:ascii="Arial" w:eastAsia="Calibri" w:hAnsi="Arial" w:cs="Arial"/>
                <w:lang w:val="es-ES"/>
              </w:rPr>
            </w:pPr>
            <w:r w:rsidRPr="00487937">
              <w:rPr>
                <w:rFonts w:ascii="Arial" w:eastAsia="Calibri" w:hAnsi="Arial" w:cs="Arial"/>
                <w:lang w:val="es-ES"/>
              </w:rPr>
              <w:t>Principio 9 Planificar estratégicamente</w:t>
            </w:r>
          </w:p>
        </w:tc>
        <w:tc>
          <w:tcPr>
            <w:tcW w:w="3799" w:type="dxa"/>
            <w:vAlign w:val="center"/>
          </w:tcPr>
          <w:p w14:paraId="370997D7" w14:textId="05FCF202" w:rsidR="006537E3" w:rsidRPr="00EA6E40" w:rsidRDefault="006537E3" w:rsidP="006537E3">
            <w:pPr>
              <w:jc w:val="both"/>
              <w:rPr>
                <w:rFonts w:ascii="Arial" w:eastAsia="Calibri" w:hAnsi="Arial" w:cs="Arial"/>
                <w:lang w:val="es-ES"/>
              </w:rPr>
            </w:pPr>
            <w:r w:rsidRPr="007F3556">
              <w:rPr>
                <w:rFonts w:ascii="Arial" w:eastAsia="Calibri" w:hAnsi="Arial" w:cs="Arial"/>
                <w:lang w:val="es-ES"/>
              </w:rPr>
              <w:t>Norma 9.3 Metodologías</w:t>
            </w:r>
          </w:p>
        </w:tc>
        <w:tc>
          <w:tcPr>
            <w:tcW w:w="2410" w:type="dxa"/>
            <w:vAlign w:val="center"/>
          </w:tcPr>
          <w:p w14:paraId="0612D472" w14:textId="53DCDA18" w:rsidR="006537E3" w:rsidRPr="00D166E5" w:rsidRDefault="006537E3" w:rsidP="006537E3">
            <w:pPr>
              <w:jc w:val="center"/>
              <w:rPr>
                <w:rFonts w:ascii="Arial" w:eastAsia="Calibri" w:hAnsi="Arial" w:cs="Arial"/>
                <w:lang w:val="es-ES"/>
              </w:rPr>
            </w:pPr>
            <w:r>
              <w:rPr>
                <w:rFonts w:ascii="Arial" w:eastAsia="Calibri" w:hAnsi="Arial" w:cs="Arial"/>
                <w:bCs/>
                <w:lang w:val="es-ES"/>
              </w:rPr>
              <w:t>……</w:t>
            </w:r>
          </w:p>
        </w:tc>
      </w:tr>
    </w:tbl>
    <w:p w14:paraId="5BED3A4C" w14:textId="77777777" w:rsidR="00B450F4" w:rsidRPr="00B450F4" w:rsidRDefault="00B450F4" w:rsidP="00550434">
      <w:pPr>
        <w:jc w:val="center"/>
        <w:rPr>
          <w:rFonts w:ascii="Arial" w:eastAsia="Calibri" w:hAnsi="Arial" w:cs="Arial"/>
          <w:b/>
          <w:bCs/>
        </w:rPr>
      </w:pPr>
    </w:p>
    <w:p w14:paraId="22A7978A" w14:textId="601D4F49" w:rsidR="00550434" w:rsidRPr="00474866" w:rsidRDefault="00550434" w:rsidP="00550434">
      <w:pPr>
        <w:jc w:val="center"/>
        <w:rPr>
          <w:rFonts w:ascii="Arial" w:eastAsia="Calibri" w:hAnsi="Arial" w:cs="Arial"/>
          <w:b/>
          <w:bCs/>
          <w:lang w:val="es-ES"/>
        </w:rPr>
      </w:pPr>
      <w:r w:rsidRPr="00474866">
        <w:rPr>
          <w:rFonts w:ascii="Arial" w:eastAsia="Calibri" w:hAnsi="Arial" w:cs="Arial"/>
          <w:b/>
          <w:bCs/>
          <w:lang w:val="es-ES"/>
        </w:rPr>
        <w:t>ÍNDICE</w:t>
      </w:r>
    </w:p>
    <w:tbl>
      <w:tblPr>
        <w:tblStyle w:val="TableGrid"/>
        <w:tblW w:w="10314" w:type="dxa"/>
        <w:tblLook w:val="04A0" w:firstRow="1" w:lastRow="0" w:firstColumn="1" w:lastColumn="0" w:noHBand="0" w:noVBand="1"/>
      </w:tblPr>
      <w:tblGrid>
        <w:gridCol w:w="8897"/>
        <w:gridCol w:w="1417"/>
      </w:tblGrid>
      <w:tr w:rsidR="00550434" w:rsidRPr="00474866" w14:paraId="79DBF6CF" w14:textId="77777777" w:rsidTr="00CE771C">
        <w:trPr>
          <w:trHeight w:val="208"/>
        </w:trPr>
        <w:tc>
          <w:tcPr>
            <w:tcW w:w="8897" w:type="dxa"/>
            <w:shd w:val="clear" w:color="auto" w:fill="0070C0"/>
            <w:vAlign w:val="center"/>
          </w:tcPr>
          <w:p w14:paraId="126D5DE1"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Materias</w:t>
            </w:r>
          </w:p>
        </w:tc>
        <w:tc>
          <w:tcPr>
            <w:tcW w:w="1417" w:type="dxa"/>
            <w:shd w:val="clear" w:color="auto" w:fill="0070C0"/>
            <w:vAlign w:val="center"/>
          </w:tcPr>
          <w:p w14:paraId="08B744ED" w14:textId="77777777" w:rsidR="00550434" w:rsidRPr="00474866" w:rsidRDefault="00550434" w:rsidP="00AA6980">
            <w:pPr>
              <w:spacing w:line="360" w:lineRule="auto"/>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Página</w:t>
            </w:r>
          </w:p>
        </w:tc>
      </w:tr>
      <w:tr w:rsidR="00550434" w:rsidRPr="00474866" w14:paraId="0463ABE4" w14:textId="77777777" w:rsidTr="00550434">
        <w:tc>
          <w:tcPr>
            <w:tcW w:w="8897" w:type="dxa"/>
          </w:tcPr>
          <w:p w14:paraId="069864AE"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1F5B15E5"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673C10C4" w14:textId="77777777" w:rsidTr="00550434">
        <w:tc>
          <w:tcPr>
            <w:tcW w:w="8897" w:type="dxa"/>
          </w:tcPr>
          <w:p w14:paraId="7EC5F80E"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0BCA3410"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4DBA72C4" w14:textId="77777777" w:rsidTr="00550434">
        <w:tc>
          <w:tcPr>
            <w:tcW w:w="8897" w:type="dxa"/>
          </w:tcPr>
          <w:p w14:paraId="065C2FEF"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19A7998D"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0F000CA2" w14:textId="77777777" w:rsidTr="00550434">
        <w:tc>
          <w:tcPr>
            <w:tcW w:w="8897" w:type="dxa"/>
          </w:tcPr>
          <w:p w14:paraId="04D19A0E"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780FBE2F" w14:textId="77777777" w:rsidR="00550434" w:rsidRPr="00474866" w:rsidRDefault="00550434" w:rsidP="00AA6980">
            <w:pPr>
              <w:tabs>
                <w:tab w:val="left" w:pos="630"/>
              </w:tabs>
              <w:spacing w:line="360" w:lineRule="auto"/>
              <w:jc w:val="center"/>
              <w:rPr>
                <w:rFonts w:ascii="Arial" w:eastAsia="Calibri" w:hAnsi="Arial" w:cs="Arial"/>
                <w:lang w:val="es-ES"/>
              </w:rPr>
            </w:pPr>
          </w:p>
        </w:tc>
      </w:tr>
      <w:tr w:rsidR="00550434" w:rsidRPr="00474866" w14:paraId="61FD074E" w14:textId="77777777" w:rsidTr="00550434">
        <w:tc>
          <w:tcPr>
            <w:tcW w:w="8897" w:type="dxa"/>
          </w:tcPr>
          <w:p w14:paraId="0FF16A90"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3B91C345"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38212183" w14:textId="77777777" w:rsidTr="00550434">
        <w:tc>
          <w:tcPr>
            <w:tcW w:w="8897" w:type="dxa"/>
          </w:tcPr>
          <w:p w14:paraId="430E21FD"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103ABAE8"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76D74CAA" w14:textId="77777777" w:rsidTr="00550434">
        <w:tc>
          <w:tcPr>
            <w:tcW w:w="8897" w:type="dxa"/>
          </w:tcPr>
          <w:p w14:paraId="6A0F6026"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6AE88F88"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7FBFD6E9" w14:textId="77777777" w:rsidTr="00550434">
        <w:tc>
          <w:tcPr>
            <w:tcW w:w="8897" w:type="dxa"/>
          </w:tcPr>
          <w:p w14:paraId="3CA50421"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219C2EE5"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59177554" w14:textId="77777777" w:rsidTr="00550434">
        <w:tc>
          <w:tcPr>
            <w:tcW w:w="8897" w:type="dxa"/>
          </w:tcPr>
          <w:p w14:paraId="7DA4B309"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32754CFE"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778A54D2" w14:textId="77777777" w:rsidTr="00550434">
        <w:tc>
          <w:tcPr>
            <w:tcW w:w="8897" w:type="dxa"/>
          </w:tcPr>
          <w:p w14:paraId="73FCF52C"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4A569B22" w14:textId="77777777" w:rsidR="00550434" w:rsidRPr="00474866" w:rsidRDefault="00550434" w:rsidP="00AA6980">
            <w:pPr>
              <w:spacing w:line="360" w:lineRule="auto"/>
              <w:jc w:val="center"/>
              <w:rPr>
                <w:rFonts w:ascii="Arial" w:eastAsia="Calibri" w:hAnsi="Arial" w:cs="Arial"/>
                <w:lang w:val="es-ES"/>
              </w:rPr>
            </w:pPr>
          </w:p>
        </w:tc>
      </w:tr>
    </w:tbl>
    <w:p w14:paraId="10E4E498" w14:textId="77777777" w:rsidR="00550434" w:rsidRPr="00474866" w:rsidRDefault="00550434" w:rsidP="00550434">
      <w:pPr>
        <w:jc w:val="both"/>
        <w:rPr>
          <w:rFonts w:ascii="Arial" w:eastAsia="Calibri" w:hAnsi="Arial" w:cs="Arial"/>
          <w:b/>
          <w:bCs/>
          <w:lang w:val="es-ES"/>
        </w:rPr>
      </w:pPr>
    </w:p>
    <w:p w14:paraId="382248B3" w14:textId="77777777" w:rsidR="00550434" w:rsidRPr="00474866" w:rsidRDefault="00550434" w:rsidP="00550434">
      <w:pPr>
        <w:jc w:val="both"/>
        <w:rPr>
          <w:rFonts w:ascii="Arial" w:eastAsia="Calibri" w:hAnsi="Arial" w:cs="Arial"/>
          <w:b/>
          <w:bCs/>
          <w:lang w:val="es-ES"/>
        </w:rPr>
      </w:pPr>
    </w:p>
    <w:tbl>
      <w:tblPr>
        <w:tblStyle w:val="TableGrid"/>
        <w:tblW w:w="4992" w:type="pct"/>
        <w:tblLook w:val="04A0" w:firstRow="1" w:lastRow="0" w:firstColumn="1" w:lastColumn="0" w:noHBand="0" w:noVBand="1"/>
      </w:tblPr>
      <w:tblGrid>
        <w:gridCol w:w="1910"/>
        <w:gridCol w:w="3687"/>
        <w:gridCol w:w="1866"/>
        <w:gridCol w:w="2802"/>
      </w:tblGrid>
      <w:tr w:rsidR="00550434" w:rsidRPr="00474866" w14:paraId="15F09F48" w14:textId="77777777" w:rsidTr="00CE771C">
        <w:trPr>
          <w:trHeight w:val="70"/>
        </w:trPr>
        <w:tc>
          <w:tcPr>
            <w:tcW w:w="930"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164BDEAF"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Responsable</w:t>
            </w:r>
          </w:p>
        </w:tc>
        <w:tc>
          <w:tcPr>
            <w:tcW w:w="1796"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77AAA960"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Nombre</w:t>
            </w:r>
          </w:p>
        </w:tc>
        <w:tc>
          <w:tcPr>
            <w:tcW w:w="909"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6930C4DA"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Fecha</w:t>
            </w:r>
          </w:p>
        </w:tc>
        <w:tc>
          <w:tcPr>
            <w:tcW w:w="1365" w:type="pct"/>
            <w:tcBorders>
              <w:top w:val="single" w:sz="4" w:space="0" w:color="auto"/>
              <w:left w:val="single" w:sz="4" w:space="0" w:color="auto"/>
              <w:bottom w:val="single" w:sz="4" w:space="0" w:color="auto"/>
              <w:right w:val="single" w:sz="4" w:space="0" w:color="auto"/>
            </w:tcBorders>
            <w:shd w:val="clear" w:color="auto" w:fill="0070C0"/>
          </w:tcPr>
          <w:p w14:paraId="0EFCDE80"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Firma</w:t>
            </w:r>
          </w:p>
        </w:tc>
      </w:tr>
      <w:tr w:rsidR="00550434" w:rsidRPr="00474866" w14:paraId="2B0F974D" w14:textId="77777777" w:rsidTr="00AA6980">
        <w:trPr>
          <w:trHeight w:val="420"/>
        </w:trPr>
        <w:tc>
          <w:tcPr>
            <w:tcW w:w="930" w:type="pct"/>
            <w:tcBorders>
              <w:top w:val="single" w:sz="4" w:space="0" w:color="auto"/>
              <w:left w:val="single" w:sz="4" w:space="0" w:color="auto"/>
              <w:bottom w:val="single" w:sz="4" w:space="0" w:color="auto"/>
              <w:right w:val="single" w:sz="4" w:space="0" w:color="auto"/>
            </w:tcBorders>
            <w:vAlign w:val="center"/>
          </w:tcPr>
          <w:p w14:paraId="4B1B4B45" w14:textId="77777777" w:rsidR="00550434" w:rsidRPr="00474866" w:rsidRDefault="00550434" w:rsidP="00AA6980">
            <w:pPr>
              <w:rPr>
                <w:rFonts w:ascii="Arial" w:eastAsia="Calibri" w:hAnsi="Arial" w:cs="Arial"/>
                <w:b/>
                <w:lang w:val="es-ES"/>
              </w:rPr>
            </w:pPr>
            <w:r w:rsidRPr="00474866">
              <w:rPr>
                <w:rFonts w:ascii="Arial" w:eastAsia="Calibri" w:hAnsi="Arial" w:cs="Arial"/>
                <w:b/>
                <w:lang w:val="es-ES"/>
              </w:rPr>
              <w:t>Realizado por:</w:t>
            </w:r>
          </w:p>
        </w:tc>
        <w:tc>
          <w:tcPr>
            <w:tcW w:w="1796" w:type="pct"/>
            <w:tcBorders>
              <w:top w:val="single" w:sz="4" w:space="0" w:color="auto"/>
              <w:left w:val="single" w:sz="4" w:space="0" w:color="auto"/>
              <w:bottom w:val="single" w:sz="4" w:space="0" w:color="auto"/>
              <w:right w:val="single" w:sz="4" w:space="0" w:color="auto"/>
            </w:tcBorders>
            <w:vAlign w:val="center"/>
          </w:tcPr>
          <w:p w14:paraId="71238628" w14:textId="77777777" w:rsidR="00550434" w:rsidRPr="00474866" w:rsidRDefault="00550434" w:rsidP="00AA6980">
            <w:pPr>
              <w:jc w:val="center"/>
              <w:rPr>
                <w:rFonts w:ascii="Arial" w:eastAsia="Calibri" w:hAnsi="Arial" w:cs="Arial"/>
                <w:b/>
                <w:lang w:val="es-ES"/>
              </w:rPr>
            </w:pPr>
          </w:p>
        </w:tc>
        <w:tc>
          <w:tcPr>
            <w:tcW w:w="909" w:type="pct"/>
            <w:tcBorders>
              <w:top w:val="single" w:sz="4" w:space="0" w:color="auto"/>
              <w:left w:val="single" w:sz="4" w:space="0" w:color="auto"/>
              <w:bottom w:val="single" w:sz="4" w:space="0" w:color="auto"/>
              <w:right w:val="single" w:sz="4" w:space="0" w:color="auto"/>
            </w:tcBorders>
            <w:vAlign w:val="center"/>
          </w:tcPr>
          <w:p w14:paraId="7ADEA28A" w14:textId="77777777" w:rsidR="00550434" w:rsidRPr="00474866" w:rsidRDefault="00550434" w:rsidP="00AA6980">
            <w:pPr>
              <w:jc w:val="center"/>
              <w:rPr>
                <w:rFonts w:ascii="Arial" w:eastAsia="Calibri" w:hAnsi="Arial" w:cs="Arial"/>
                <w:b/>
                <w:lang w:val="es-ES"/>
              </w:rPr>
            </w:pPr>
          </w:p>
        </w:tc>
        <w:tc>
          <w:tcPr>
            <w:tcW w:w="1365" w:type="pct"/>
            <w:tcBorders>
              <w:top w:val="single" w:sz="4" w:space="0" w:color="auto"/>
              <w:left w:val="single" w:sz="4" w:space="0" w:color="auto"/>
              <w:bottom w:val="single" w:sz="4" w:space="0" w:color="auto"/>
              <w:right w:val="single" w:sz="4" w:space="0" w:color="auto"/>
            </w:tcBorders>
          </w:tcPr>
          <w:p w14:paraId="4A0E8BA2" w14:textId="77777777" w:rsidR="00550434" w:rsidRPr="00474866" w:rsidRDefault="00550434" w:rsidP="00AA6980">
            <w:pPr>
              <w:rPr>
                <w:rFonts w:ascii="Arial" w:eastAsia="Calibri" w:hAnsi="Arial" w:cs="Arial"/>
                <w:b/>
                <w:lang w:val="es-ES"/>
              </w:rPr>
            </w:pPr>
          </w:p>
        </w:tc>
      </w:tr>
      <w:tr w:rsidR="00550434" w:rsidRPr="00474866" w14:paraId="02A9825A" w14:textId="77777777" w:rsidTr="00AA6980">
        <w:trPr>
          <w:trHeight w:val="465"/>
        </w:trPr>
        <w:tc>
          <w:tcPr>
            <w:tcW w:w="930" w:type="pct"/>
            <w:tcBorders>
              <w:top w:val="single" w:sz="4" w:space="0" w:color="auto"/>
              <w:left w:val="single" w:sz="4" w:space="0" w:color="auto"/>
              <w:bottom w:val="single" w:sz="4" w:space="0" w:color="auto"/>
              <w:right w:val="single" w:sz="4" w:space="0" w:color="auto"/>
            </w:tcBorders>
            <w:vAlign w:val="center"/>
          </w:tcPr>
          <w:p w14:paraId="102C2976" w14:textId="77777777" w:rsidR="00550434" w:rsidRPr="00474866" w:rsidRDefault="00550434" w:rsidP="00AA6980">
            <w:pPr>
              <w:rPr>
                <w:rFonts w:ascii="Arial" w:eastAsia="Calibri" w:hAnsi="Arial" w:cs="Arial"/>
                <w:b/>
                <w:lang w:val="es-ES"/>
              </w:rPr>
            </w:pPr>
            <w:r w:rsidRPr="00474866">
              <w:rPr>
                <w:rFonts w:ascii="Arial" w:eastAsia="Calibri" w:hAnsi="Arial" w:cs="Arial"/>
                <w:b/>
                <w:lang w:val="es-ES"/>
              </w:rPr>
              <w:t>Revisado por:</w:t>
            </w:r>
          </w:p>
        </w:tc>
        <w:tc>
          <w:tcPr>
            <w:tcW w:w="1796" w:type="pct"/>
            <w:tcBorders>
              <w:top w:val="single" w:sz="4" w:space="0" w:color="auto"/>
              <w:left w:val="single" w:sz="4" w:space="0" w:color="auto"/>
              <w:bottom w:val="single" w:sz="4" w:space="0" w:color="auto"/>
              <w:right w:val="single" w:sz="4" w:space="0" w:color="auto"/>
            </w:tcBorders>
            <w:vAlign w:val="center"/>
          </w:tcPr>
          <w:p w14:paraId="093F4819" w14:textId="77777777" w:rsidR="00550434" w:rsidRPr="00474866" w:rsidRDefault="00550434" w:rsidP="00AA6980">
            <w:pPr>
              <w:jc w:val="center"/>
              <w:rPr>
                <w:rFonts w:ascii="Arial" w:eastAsia="Calibri" w:hAnsi="Arial" w:cs="Arial"/>
                <w:b/>
                <w:lang w:val="es-ES"/>
              </w:rPr>
            </w:pPr>
          </w:p>
        </w:tc>
        <w:tc>
          <w:tcPr>
            <w:tcW w:w="909" w:type="pct"/>
            <w:tcBorders>
              <w:top w:val="single" w:sz="4" w:space="0" w:color="auto"/>
              <w:left w:val="single" w:sz="4" w:space="0" w:color="auto"/>
              <w:bottom w:val="single" w:sz="4" w:space="0" w:color="auto"/>
              <w:right w:val="single" w:sz="4" w:space="0" w:color="auto"/>
            </w:tcBorders>
            <w:vAlign w:val="center"/>
          </w:tcPr>
          <w:p w14:paraId="5BBD8B59" w14:textId="77777777" w:rsidR="00550434" w:rsidRPr="00474866" w:rsidRDefault="00550434" w:rsidP="00AA6980">
            <w:pPr>
              <w:jc w:val="center"/>
              <w:rPr>
                <w:rFonts w:ascii="Arial" w:eastAsia="Calibri" w:hAnsi="Arial" w:cs="Arial"/>
                <w:b/>
                <w:lang w:val="es-ES"/>
              </w:rPr>
            </w:pPr>
          </w:p>
        </w:tc>
        <w:tc>
          <w:tcPr>
            <w:tcW w:w="1365" w:type="pct"/>
            <w:tcBorders>
              <w:top w:val="single" w:sz="4" w:space="0" w:color="auto"/>
              <w:left w:val="single" w:sz="4" w:space="0" w:color="auto"/>
              <w:bottom w:val="single" w:sz="4" w:space="0" w:color="auto"/>
              <w:right w:val="single" w:sz="4" w:space="0" w:color="auto"/>
            </w:tcBorders>
          </w:tcPr>
          <w:p w14:paraId="1197ABE1" w14:textId="77777777" w:rsidR="00550434" w:rsidRPr="00474866" w:rsidRDefault="00550434" w:rsidP="00AA6980">
            <w:pPr>
              <w:rPr>
                <w:rFonts w:ascii="Arial" w:eastAsia="Calibri" w:hAnsi="Arial" w:cs="Arial"/>
                <w:b/>
                <w:lang w:val="es-ES"/>
              </w:rPr>
            </w:pPr>
          </w:p>
        </w:tc>
      </w:tr>
      <w:tr w:rsidR="00550434" w:rsidRPr="00474866" w14:paraId="4AB2D941" w14:textId="77777777" w:rsidTr="00AA6980">
        <w:trPr>
          <w:trHeight w:val="430"/>
        </w:trPr>
        <w:tc>
          <w:tcPr>
            <w:tcW w:w="930" w:type="pct"/>
            <w:tcBorders>
              <w:top w:val="single" w:sz="4" w:space="0" w:color="auto"/>
              <w:left w:val="single" w:sz="4" w:space="0" w:color="auto"/>
              <w:bottom w:val="single" w:sz="4" w:space="0" w:color="auto"/>
              <w:right w:val="single" w:sz="4" w:space="0" w:color="auto"/>
            </w:tcBorders>
            <w:vAlign w:val="center"/>
            <w:hideMark/>
          </w:tcPr>
          <w:p w14:paraId="3BFA5F3B" w14:textId="77777777" w:rsidR="00550434" w:rsidRPr="00474866" w:rsidRDefault="00550434" w:rsidP="00AA6980">
            <w:pPr>
              <w:rPr>
                <w:rFonts w:ascii="Arial" w:eastAsia="Calibri" w:hAnsi="Arial" w:cs="Arial"/>
                <w:b/>
                <w:lang w:val="es-ES"/>
              </w:rPr>
            </w:pPr>
            <w:r w:rsidRPr="00474866">
              <w:rPr>
                <w:rFonts w:ascii="Arial" w:eastAsia="Calibri" w:hAnsi="Arial" w:cs="Arial"/>
                <w:b/>
                <w:lang w:val="es-ES"/>
              </w:rPr>
              <w:t>Aprobado por:</w:t>
            </w:r>
          </w:p>
        </w:tc>
        <w:tc>
          <w:tcPr>
            <w:tcW w:w="1796" w:type="pct"/>
            <w:tcBorders>
              <w:top w:val="single" w:sz="4" w:space="0" w:color="auto"/>
              <w:left w:val="single" w:sz="4" w:space="0" w:color="auto"/>
              <w:bottom w:val="single" w:sz="4" w:space="0" w:color="auto"/>
              <w:right w:val="single" w:sz="4" w:space="0" w:color="auto"/>
            </w:tcBorders>
            <w:vAlign w:val="center"/>
          </w:tcPr>
          <w:p w14:paraId="0F243E8B" w14:textId="77777777" w:rsidR="00550434" w:rsidRPr="00474866" w:rsidRDefault="00550434" w:rsidP="00AA6980">
            <w:pPr>
              <w:jc w:val="center"/>
              <w:rPr>
                <w:rFonts w:ascii="Arial" w:eastAsia="Calibri" w:hAnsi="Arial" w:cs="Arial"/>
                <w:b/>
                <w:lang w:val="es-ES"/>
              </w:rPr>
            </w:pPr>
          </w:p>
        </w:tc>
        <w:tc>
          <w:tcPr>
            <w:tcW w:w="909" w:type="pct"/>
            <w:tcBorders>
              <w:top w:val="single" w:sz="4" w:space="0" w:color="auto"/>
              <w:left w:val="single" w:sz="4" w:space="0" w:color="auto"/>
              <w:bottom w:val="single" w:sz="4" w:space="0" w:color="auto"/>
              <w:right w:val="single" w:sz="4" w:space="0" w:color="auto"/>
            </w:tcBorders>
            <w:vAlign w:val="center"/>
          </w:tcPr>
          <w:p w14:paraId="7C801862" w14:textId="77777777" w:rsidR="00550434" w:rsidRPr="00474866" w:rsidRDefault="00550434" w:rsidP="00AA6980">
            <w:pPr>
              <w:jc w:val="center"/>
              <w:rPr>
                <w:rFonts w:ascii="Arial" w:eastAsia="Calibri" w:hAnsi="Arial" w:cs="Arial"/>
                <w:b/>
                <w:lang w:val="es-ES"/>
              </w:rPr>
            </w:pPr>
          </w:p>
        </w:tc>
        <w:tc>
          <w:tcPr>
            <w:tcW w:w="1365" w:type="pct"/>
            <w:tcBorders>
              <w:top w:val="single" w:sz="4" w:space="0" w:color="auto"/>
              <w:left w:val="single" w:sz="4" w:space="0" w:color="auto"/>
              <w:bottom w:val="single" w:sz="4" w:space="0" w:color="auto"/>
              <w:right w:val="single" w:sz="4" w:space="0" w:color="auto"/>
            </w:tcBorders>
          </w:tcPr>
          <w:p w14:paraId="59346927" w14:textId="77777777" w:rsidR="00550434" w:rsidRPr="00474866" w:rsidRDefault="00550434" w:rsidP="00AA6980">
            <w:pPr>
              <w:rPr>
                <w:rFonts w:ascii="Arial" w:eastAsia="Calibri" w:hAnsi="Arial" w:cs="Arial"/>
                <w:b/>
                <w:lang w:val="es-ES"/>
              </w:rPr>
            </w:pPr>
          </w:p>
        </w:tc>
      </w:tr>
    </w:tbl>
    <w:p w14:paraId="4A457585" w14:textId="77777777" w:rsidR="00550434" w:rsidRPr="00474866" w:rsidRDefault="00550434" w:rsidP="00550434">
      <w:pPr>
        <w:pStyle w:val="Heading1"/>
        <w:spacing w:before="0" w:line="240" w:lineRule="auto"/>
        <w:rPr>
          <w:rFonts w:ascii="Arial" w:hAnsi="Arial" w:cs="Arial"/>
          <w:b/>
          <w:color w:val="auto"/>
          <w:sz w:val="22"/>
          <w:szCs w:val="22"/>
        </w:rPr>
      </w:pPr>
    </w:p>
    <w:p w14:paraId="65BA4029" w14:textId="77777777" w:rsidR="00550434" w:rsidRPr="00474866" w:rsidRDefault="00550434" w:rsidP="00550434">
      <w:pPr>
        <w:pStyle w:val="Heading1"/>
        <w:spacing w:before="0" w:line="240" w:lineRule="auto"/>
        <w:rPr>
          <w:rFonts w:ascii="Arial" w:hAnsi="Arial" w:cs="Arial"/>
          <w:b/>
          <w:color w:val="auto"/>
          <w:sz w:val="22"/>
          <w:szCs w:val="22"/>
        </w:rPr>
      </w:pPr>
    </w:p>
    <w:p w14:paraId="21DD5101" w14:textId="77777777" w:rsidR="00550434" w:rsidRPr="00474866" w:rsidRDefault="00550434" w:rsidP="00821C34">
      <w:pPr>
        <w:tabs>
          <w:tab w:val="left" w:pos="142"/>
        </w:tabs>
        <w:spacing w:after="120" w:line="240" w:lineRule="auto"/>
        <w:jc w:val="both"/>
        <w:rPr>
          <w:rFonts w:ascii="Arial" w:hAnsi="Arial" w:cs="Arial"/>
          <w:b/>
          <w:lang w:val="es-ES"/>
        </w:rPr>
      </w:pPr>
    </w:p>
    <w:p w14:paraId="427944BE" w14:textId="77777777" w:rsidR="00550434" w:rsidRPr="00474866" w:rsidRDefault="00550434" w:rsidP="00821C34">
      <w:pPr>
        <w:tabs>
          <w:tab w:val="left" w:pos="142"/>
        </w:tabs>
        <w:spacing w:after="120" w:line="240" w:lineRule="auto"/>
        <w:jc w:val="both"/>
        <w:rPr>
          <w:rFonts w:ascii="Arial" w:hAnsi="Arial" w:cs="Arial"/>
          <w:b/>
          <w:lang w:val="es-ES"/>
        </w:rPr>
      </w:pPr>
    </w:p>
    <w:p w14:paraId="0E0F51BF" w14:textId="77777777" w:rsidR="00550434" w:rsidRPr="00474866" w:rsidRDefault="00550434" w:rsidP="00821C34">
      <w:pPr>
        <w:tabs>
          <w:tab w:val="left" w:pos="142"/>
        </w:tabs>
        <w:spacing w:after="120" w:line="240" w:lineRule="auto"/>
        <w:jc w:val="both"/>
        <w:rPr>
          <w:rFonts w:ascii="Arial" w:hAnsi="Arial" w:cs="Arial"/>
          <w:b/>
          <w:lang w:val="es-ES"/>
        </w:rPr>
      </w:pPr>
    </w:p>
    <w:p w14:paraId="7CBFD01E" w14:textId="77777777" w:rsidR="00550434" w:rsidRPr="00474866" w:rsidRDefault="00550434" w:rsidP="00821C34">
      <w:pPr>
        <w:tabs>
          <w:tab w:val="left" w:pos="142"/>
        </w:tabs>
        <w:spacing w:after="120" w:line="240" w:lineRule="auto"/>
        <w:jc w:val="both"/>
        <w:rPr>
          <w:rFonts w:ascii="Arial" w:hAnsi="Arial" w:cs="Arial"/>
          <w:b/>
          <w:lang w:val="es-ES"/>
        </w:rPr>
      </w:pPr>
    </w:p>
    <w:p w14:paraId="65A016E4" w14:textId="77777777" w:rsidR="00550434" w:rsidRPr="00474866" w:rsidRDefault="00550434" w:rsidP="00821C34">
      <w:pPr>
        <w:tabs>
          <w:tab w:val="left" w:pos="142"/>
        </w:tabs>
        <w:spacing w:after="120" w:line="240" w:lineRule="auto"/>
        <w:jc w:val="both"/>
        <w:rPr>
          <w:rFonts w:ascii="Arial" w:hAnsi="Arial" w:cs="Arial"/>
          <w:b/>
          <w:lang w:val="es-ES"/>
        </w:rPr>
      </w:pPr>
    </w:p>
    <w:p w14:paraId="499B1CBE" w14:textId="77777777" w:rsidR="00550434" w:rsidRPr="00474866" w:rsidRDefault="00550434" w:rsidP="00821C34">
      <w:pPr>
        <w:tabs>
          <w:tab w:val="left" w:pos="142"/>
        </w:tabs>
        <w:spacing w:after="120" w:line="240" w:lineRule="auto"/>
        <w:jc w:val="both"/>
        <w:rPr>
          <w:rFonts w:ascii="Arial" w:hAnsi="Arial" w:cs="Arial"/>
          <w:b/>
          <w:lang w:val="es-ES"/>
        </w:rPr>
      </w:pPr>
    </w:p>
    <w:p w14:paraId="7BC1F769" w14:textId="77777777" w:rsidR="005572DB" w:rsidRDefault="005572DB" w:rsidP="00821C34">
      <w:pPr>
        <w:tabs>
          <w:tab w:val="left" w:pos="142"/>
        </w:tabs>
        <w:spacing w:after="120" w:line="240" w:lineRule="auto"/>
        <w:jc w:val="both"/>
        <w:rPr>
          <w:rFonts w:ascii="Arial" w:hAnsi="Arial" w:cs="Arial"/>
          <w:b/>
          <w:lang w:val="es-ES"/>
        </w:rPr>
      </w:pPr>
    </w:p>
    <w:p w14:paraId="32815624" w14:textId="77777777" w:rsidR="00C175FC" w:rsidRDefault="00C175FC" w:rsidP="00821C34">
      <w:pPr>
        <w:tabs>
          <w:tab w:val="left" w:pos="142"/>
        </w:tabs>
        <w:spacing w:after="120" w:line="240" w:lineRule="auto"/>
        <w:jc w:val="both"/>
        <w:rPr>
          <w:rFonts w:ascii="Arial" w:hAnsi="Arial" w:cs="Arial"/>
          <w:b/>
          <w:lang w:val="es-ES"/>
        </w:rPr>
      </w:pPr>
    </w:p>
    <w:p w14:paraId="422F01BC" w14:textId="238559BF" w:rsidR="00E75A1F" w:rsidRPr="00016FA7" w:rsidRDefault="00E75A1F" w:rsidP="00474866">
      <w:pPr>
        <w:tabs>
          <w:tab w:val="left" w:pos="142"/>
        </w:tabs>
        <w:spacing w:after="120" w:line="240" w:lineRule="auto"/>
        <w:jc w:val="both"/>
        <w:rPr>
          <w:rFonts w:ascii="Arial" w:hAnsi="Arial" w:cs="Arial"/>
          <w:b/>
          <w:lang w:val="es-ES"/>
        </w:rPr>
      </w:pPr>
      <w:r w:rsidRPr="00016FA7">
        <w:rPr>
          <w:rFonts w:ascii="Arial" w:hAnsi="Arial" w:cs="Arial"/>
          <w:b/>
          <w:lang w:val="es-ES"/>
        </w:rPr>
        <w:lastRenderedPageBreak/>
        <w:t>1. OBJETIVO</w:t>
      </w:r>
    </w:p>
    <w:p w14:paraId="3224EE59" w14:textId="2E805E9F" w:rsidR="00B537CF" w:rsidRPr="00016FA7" w:rsidRDefault="009C4DC2" w:rsidP="00474866">
      <w:pPr>
        <w:spacing w:after="120" w:line="240" w:lineRule="auto"/>
        <w:jc w:val="both"/>
        <w:rPr>
          <w:rFonts w:ascii="Arial" w:hAnsi="Arial" w:cs="Arial"/>
          <w:lang w:val="es-ES"/>
        </w:rPr>
      </w:pPr>
      <w:r w:rsidRPr="00016FA7">
        <w:rPr>
          <w:rFonts w:ascii="Arial" w:eastAsia="Calibri" w:hAnsi="Arial" w:cs="Arial"/>
          <w:shd w:val="clear" w:color="auto" w:fill="F2F2F2" w:themeFill="background1" w:themeFillShade="F2"/>
          <w:lang w:val="es-ES"/>
        </w:rPr>
        <w:t xml:space="preserve">Establecer un proceso sistemático y disciplinado para </w:t>
      </w:r>
      <w:r w:rsidR="00E070E8" w:rsidRPr="00016FA7">
        <w:rPr>
          <w:rFonts w:ascii="Arial" w:hAnsi="Arial" w:cs="Arial"/>
          <w:lang w:val="es-ES"/>
        </w:rPr>
        <w:t xml:space="preserve">garantizar la aplicación del debido cuidado profesional y el escepticismo en la planificación, ejecución y comunicación de los servicios de auditoría interna. Se busca asegurar que los auditores internos actúen con diligencia, juicio crítico y una actitud inquisitiva en la evaluación de información, considerando la naturaleza, las circunstancias y los requisitos de cada trabajo. </w:t>
      </w:r>
    </w:p>
    <w:p w14:paraId="7BC98D21" w14:textId="01653A97" w:rsidR="00E75A1F" w:rsidRPr="00016FA7" w:rsidRDefault="00E75A1F" w:rsidP="00474866">
      <w:pPr>
        <w:spacing w:after="120" w:line="240" w:lineRule="auto"/>
        <w:jc w:val="both"/>
        <w:rPr>
          <w:rFonts w:ascii="Arial" w:hAnsi="Arial" w:cs="Arial"/>
          <w:b/>
          <w:lang w:val="es-ES"/>
        </w:rPr>
      </w:pPr>
      <w:r w:rsidRPr="00016FA7">
        <w:rPr>
          <w:rFonts w:ascii="Arial" w:hAnsi="Arial" w:cs="Arial"/>
          <w:b/>
          <w:lang w:val="es-ES"/>
        </w:rPr>
        <w:t>2. ALCANCE</w:t>
      </w:r>
    </w:p>
    <w:p w14:paraId="7E383228" w14:textId="3AD8552F" w:rsidR="00E75A1F" w:rsidRPr="00016FA7" w:rsidRDefault="00E75A1F" w:rsidP="00474866">
      <w:pPr>
        <w:spacing w:after="120" w:line="240" w:lineRule="auto"/>
        <w:jc w:val="both"/>
        <w:rPr>
          <w:rFonts w:ascii="Arial" w:hAnsi="Arial" w:cs="Arial"/>
          <w:bCs/>
          <w:lang w:val="es-ES"/>
        </w:rPr>
      </w:pPr>
      <w:r w:rsidRPr="00016FA7">
        <w:rPr>
          <w:rFonts w:ascii="Arial" w:hAnsi="Arial" w:cs="Arial"/>
          <w:bCs/>
          <w:lang w:val="es-ES"/>
        </w:rPr>
        <w:t xml:space="preserve">Este procedimiento comprende </w:t>
      </w:r>
      <w:r w:rsidR="007809FF" w:rsidRPr="00016FA7">
        <w:rPr>
          <w:rFonts w:ascii="Arial" w:hAnsi="Arial" w:cs="Arial"/>
          <w:bCs/>
          <w:lang w:val="es-ES"/>
        </w:rPr>
        <w:t>el debido cuidado profesional y el escepticismo aplicado al</w:t>
      </w:r>
      <w:r w:rsidRPr="00016FA7">
        <w:rPr>
          <w:rFonts w:ascii="Arial" w:hAnsi="Arial" w:cs="Arial"/>
          <w:bCs/>
          <w:lang w:val="es-ES"/>
        </w:rPr>
        <w:t xml:space="preserve"> Jefe </w:t>
      </w:r>
      <w:r w:rsidR="0063480E" w:rsidRPr="00016FA7">
        <w:rPr>
          <w:rFonts w:ascii="Arial" w:hAnsi="Arial" w:cs="Arial"/>
          <w:bCs/>
          <w:lang w:val="es-ES"/>
        </w:rPr>
        <w:t xml:space="preserve">Auditoría </w:t>
      </w:r>
      <w:r w:rsidRPr="00016FA7">
        <w:rPr>
          <w:rFonts w:ascii="Arial" w:hAnsi="Arial" w:cs="Arial"/>
          <w:bCs/>
          <w:lang w:val="es-ES"/>
        </w:rPr>
        <w:t xml:space="preserve">y </w:t>
      </w:r>
      <w:r w:rsidR="008E7F25" w:rsidRPr="00016FA7">
        <w:rPr>
          <w:rFonts w:ascii="Arial" w:hAnsi="Arial" w:cs="Arial"/>
          <w:bCs/>
          <w:lang w:val="es-ES"/>
        </w:rPr>
        <w:t xml:space="preserve">a </w:t>
      </w:r>
      <w:r w:rsidR="0063480E" w:rsidRPr="00016FA7">
        <w:rPr>
          <w:rFonts w:ascii="Arial" w:hAnsi="Arial" w:cs="Arial"/>
          <w:bCs/>
          <w:lang w:val="es-ES"/>
        </w:rPr>
        <w:t>los miembros de la</w:t>
      </w:r>
      <w:r w:rsidRPr="00016FA7">
        <w:rPr>
          <w:rFonts w:ascii="Arial" w:hAnsi="Arial" w:cs="Arial"/>
          <w:bCs/>
          <w:lang w:val="es-ES"/>
        </w:rPr>
        <w:t xml:space="preserve"> </w:t>
      </w:r>
      <w:r w:rsidR="0041208D" w:rsidRPr="00016FA7">
        <w:rPr>
          <w:rFonts w:ascii="Arial" w:hAnsi="Arial" w:cs="Arial"/>
          <w:bCs/>
          <w:lang w:val="es-ES"/>
        </w:rPr>
        <w:t>función</w:t>
      </w:r>
      <w:r w:rsidR="0063480E" w:rsidRPr="00016FA7">
        <w:rPr>
          <w:rFonts w:ascii="Arial" w:hAnsi="Arial" w:cs="Arial"/>
          <w:bCs/>
          <w:lang w:val="es-ES"/>
        </w:rPr>
        <w:t xml:space="preserve"> de auditoría interna</w:t>
      </w:r>
      <w:r w:rsidRPr="00016FA7">
        <w:rPr>
          <w:rFonts w:ascii="Arial" w:hAnsi="Arial" w:cs="Arial"/>
          <w:bCs/>
          <w:lang w:val="es-ES"/>
        </w:rPr>
        <w:t xml:space="preserve">, así como </w:t>
      </w:r>
      <w:r w:rsidR="008E7F25" w:rsidRPr="00016FA7">
        <w:rPr>
          <w:rFonts w:ascii="Arial" w:hAnsi="Arial" w:cs="Arial"/>
          <w:bCs/>
          <w:lang w:val="es-ES"/>
        </w:rPr>
        <w:t>a</w:t>
      </w:r>
      <w:r w:rsidRPr="00016FA7">
        <w:rPr>
          <w:rFonts w:ascii="Arial" w:hAnsi="Arial" w:cs="Arial"/>
          <w:bCs/>
          <w:lang w:val="es-ES"/>
        </w:rPr>
        <w:t xml:space="preserve"> </w:t>
      </w:r>
      <w:r w:rsidR="0089019E" w:rsidRPr="00016FA7">
        <w:rPr>
          <w:rFonts w:ascii="Arial" w:hAnsi="Arial" w:cs="Arial"/>
          <w:bCs/>
          <w:lang w:val="es-ES"/>
        </w:rPr>
        <w:t xml:space="preserve">todo </w:t>
      </w:r>
      <w:r w:rsidR="008E7F25" w:rsidRPr="00016FA7">
        <w:rPr>
          <w:rFonts w:ascii="Arial" w:hAnsi="Arial" w:cs="Arial"/>
          <w:bCs/>
          <w:lang w:val="es-ES"/>
        </w:rPr>
        <w:t xml:space="preserve">el </w:t>
      </w:r>
      <w:r w:rsidR="007D7AE0" w:rsidRPr="00016FA7">
        <w:rPr>
          <w:rFonts w:ascii="Arial" w:hAnsi="Arial" w:cs="Arial"/>
          <w:bCs/>
          <w:lang w:val="es-ES"/>
        </w:rPr>
        <w:t>personal</w:t>
      </w:r>
      <w:r w:rsidR="00AF2D96" w:rsidRPr="00016FA7">
        <w:rPr>
          <w:rFonts w:ascii="Arial" w:hAnsi="Arial" w:cs="Arial"/>
          <w:bCs/>
          <w:lang w:val="es-ES"/>
        </w:rPr>
        <w:t xml:space="preserve"> que</w:t>
      </w:r>
      <w:r w:rsidR="008F5476" w:rsidRPr="00016FA7">
        <w:rPr>
          <w:rFonts w:ascii="Arial" w:hAnsi="Arial" w:cs="Arial"/>
          <w:bCs/>
          <w:lang w:val="es-ES"/>
        </w:rPr>
        <w:t xml:space="preserve"> </w:t>
      </w:r>
      <w:r w:rsidRPr="00016FA7">
        <w:rPr>
          <w:rFonts w:ascii="Arial" w:hAnsi="Arial" w:cs="Arial"/>
          <w:bCs/>
          <w:lang w:val="es-ES"/>
        </w:rPr>
        <w:t>preste servicios de auditoría interna en forma permanente u ocasional en las dependencias de</w:t>
      </w:r>
      <w:r w:rsidR="007B6D11" w:rsidRPr="00016FA7">
        <w:rPr>
          <w:rFonts w:ascii="Arial" w:hAnsi="Arial" w:cs="Arial"/>
          <w:bCs/>
          <w:lang w:val="es-ES"/>
        </w:rPr>
        <w:t>l Servicio.</w:t>
      </w:r>
    </w:p>
    <w:p w14:paraId="618F1B0A" w14:textId="184DF2B8" w:rsidR="00E75A1F" w:rsidRPr="00016FA7" w:rsidRDefault="0063480E" w:rsidP="00474866">
      <w:pPr>
        <w:spacing w:after="120" w:line="240" w:lineRule="auto"/>
        <w:jc w:val="both"/>
        <w:rPr>
          <w:rFonts w:ascii="Arial" w:hAnsi="Arial" w:cs="Arial"/>
          <w:b/>
          <w:lang w:val="es-ES"/>
        </w:rPr>
      </w:pPr>
      <w:r w:rsidRPr="00016FA7">
        <w:rPr>
          <w:rFonts w:ascii="Arial" w:hAnsi="Arial" w:cs="Arial"/>
          <w:b/>
          <w:lang w:val="es-ES"/>
        </w:rPr>
        <w:t>3</w:t>
      </w:r>
      <w:r w:rsidR="00E75A1F" w:rsidRPr="00016FA7">
        <w:rPr>
          <w:rFonts w:ascii="Arial" w:hAnsi="Arial" w:cs="Arial"/>
          <w:b/>
          <w:lang w:val="es-ES"/>
        </w:rPr>
        <w:t>. DEFINICIONES</w:t>
      </w:r>
    </w:p>
    <w:p w14:paraId="0B200B90" w14:textId="0D884FEC" w:rsidR="00E85277" w:rsidRPr="006B424A" w:rsidRDefault="00E85277" w:rsidP="006B424A">
      <w:pPr>
        <w:pStyle w:val="ListParagraph"/>
        <w:numPr>
          <w:ilvl w:val="0"/>
          <w:numId w:val="1"/>
        </w:numPr>
        <w:spacing w:after="0" w:line="240" w:lineRule="auto"/>
        <w:jc w:val="both"/>
        <w:rPr>
          <w:rFonts w:ascii="Arial" w:hAnsi="Arial" w:cs="Arial"/>
        </w:rPr>
      </w:pPr>
      <w:r w:rsidRPr="006B424A">
        <w:rPr>
          <w:rFonts w:ascii="Arial" w:hAnsi="Arial" w:cs="Arial"/>
          <w:b/>
          <w:bCs/>
        </w:rPr>
        <w:t xml:space="preserve">Debido Cuidado Profesional: </w:t>
      </w:r>
      <w:r w:rsidRPr="006B424A">
        <w:rPr>
          <w:rFonts w:ascii="Arial" w:hAnsi="Arial" w:cs="Arial"/>
        </w:rPr>
        <w:t>Aplicación de diligencia, juicio crítico y escepticismo en la planificación y ejecución de los servicios de auditoría interna, considerando la naturaleza, complejidad y riesgos de cada trabajo.</w:t>
      </w:r>
    </w:p>
    <w:p w14:paraId="67684A62" w14:textId="416ECF4D" w:rsidR="00E85277" w:rsidRPr="006B424A" w:rsidRDefault="00E85277" w:rsidP="006B424A">
      <w:pPr>
        <w:pStyle w:val="ListParagraph"/>
        <w:numPr>
          <w:ilvl w:val="0"/>
          <w:numId w:val="1"/>
        </w:numPr>
        <w:spacing w:after="0" w:line="240" w:lineRule="auto"/>
        <w:jc w:val="both"/>
        <w:rPr>
          <w:rFonts w:ascii="Arial" w:hAnsi="Arial" w:cs="Arial"/>
        </w:rPr>
      </w:pPr>
      <w:r w:rsidRPr="006B424A">
        <w:rPr>
          <w:rFonts w:ascii="Arial" w:hAnsi="Arial" w:cs="Arial"/>
          <w:b/>
          <w:bCs/>
        </w:rPr>
        <w:t xml:space="preserve">Escepticismo Profesional: </w:t>
      </w:r>
      <w:r w:rsidRPr="006B424A">
        <w:rPr>
          <w:rFonts w:ascii="Arial" w:hAnsi="Arial" w:cs="Arial"/>
        </w:rPr>
        <w:t>Actitud inquisitiva y crítica para evaluar la fiabilidad de la información, detectar inconsistencias y buscar evidencia suficiente y adecuada.</w:t>
      </w:r>
    </w:p>
    <w:p w14:paraId="26FA7ED9" w14:textId="53138A26" w:rsidR="00E85277" w:rsidRPr="006B424A" w:rsidRDefault="00E85277" w:rsidP="006B424A">
      <w:pPr>
        <w:pStyle w:val="ListParagraph"/>
        <w:numPr>
          <w:ilvl w:val="0"/>
          <w:numId w:val="1"/>
        </w:numPr>
        <w:spacing w:after="0" w:line="240" w:lineRule="auto"/>
        <w:jc w:val="both"/>
        <w:rPr>
          <w:rFonts w:ascii="Arial" w:hAnsi="Arial" w:cs="Arial"/>
        </w:rPr>
      </w:pPr>
      <w:r w:rsidRPr="006B424A">
        <w:rPr>
          <w:rFonts w:ascii="Arial" w:hAnsi="Arial" w:cs="Arial"/>
          <w:b/>
          <w:bCs/>
        </w:rPr>
        <w:t xml:space="preserve">Conformidad con las Normas: </w:t>
      </w:r>
      <w:r w:rsidRPr="006B424A">
        <w:rPr>
          <w:rFonts w:ascii="Arial" w:hAnsi="Arial" w:cs="Arial"/>
        </w:rPr>
        <w:t>Cumplimiento de las Normas Globales de Auditoría Interna y las metodologías establecidas para garantizar la calidad y objetividad de los servicios.</w:t>
      </w:r>
    </w:p>
    <w:p w14:paraId="72E11E39" w14:textId="2FA7B117" w:rsidR="00E85277" w:rsidRPr="006B424A" w:rsidRDefault="00E85277" w:rsidP="006B424A">
      <w:pPr>
        <w:pStyle w:val="ListParagraph"/>
        <w:numPr>
          <w:ilvl w:val="0"/>
          <w:numId w:val="1"/>
        </w:numPr>
        <w:spacing w:after="0" w:line="240" w:lineRule="auto"/>
        <w:jc w:val="both"/>
        <w:rPr>
          <w:rFonts w:ascii="Arial" w:hAnsi="Arial" w:cs="Arial"/>
        </w:rPr>
      </w:pPr>
      <w:r w:rsidRPr="006B424A">
        <w:rPr>
          <w:rFonts w:ascii="Arial" w:hAnsi="Arial" w:cs="Arial"/>
          <w:b/>
          <w:bCs/>
        </w:rPr>
        <w:t xml:space="preserve">Riesgos y Circunstancias: </w:t>
      </w:r>
      <w:r w:rsidRPr="006B424A">
        <w:rPr>
          <w:rFonts w:ascii="Arial" w:hAnsi="Arial" w:cs="Arial"/>
        </w:rPr>
        <w:t>Factores relevantes que afectan los objetivos del trabajo, incluyendo errores, fraudes, incumplimientos y controles inadecuados.</w:t>
      </w:r>
    </w:p>
    <w:p w14:paraId="41517747" w14:textId="4F419EAA" w:rsidR="00E85277" w:rsidRPr="006B424A" w:rsidRDefault="00E85277" w:rsidP="006B424A">
      <w:pPr>
        <w:pStyle w:val="ListParagraph"/>
        <w:numPr>
          <w:ilvl w:val="0"/>
          <w:numId w:val="1"/>
        </w:numPr>
        <w:spacing w:after="0" w:line="240" w:lineRule="auto"/>
        <w:jc w:val="both"/>
        <w:rPr>
          <w:rFonts w:ascii="Arial" w:hAnsi="Arial" w:cs="Arial"/>
        </w:rPr>
      </w:pPr>
      <w:r w:rsidRPr="006B424A">
        <w:rPr>
          <w:rFonts w:ascii="Arial" w:hAnsi="Arial" w:cs="Arial"/>
          <w:b/>
          <w:bCs/>
        </w:rPr>
        <w:t xml:space="preserve">Evidencia: </w:t>
      </w:r>
      <w:r w:rsidRPr="006B424A">
        <w:rPr>
          <w:rFonts w:ascii="Arial" w:hAnsi="Arial" w:cs="Arial"/>
        </w:rPr>
        <w:t>Información suficiente, confiable y pertinente recopilada durante los servicios de auditoría para respaldar conclusiones y recomendaciones.</w:t>
      </w:r>
    </w:p>
    <w:p w14:paraId="2B992C96" w14:textId="77777777" w:rsidR="006917AF" w:rsidRPr="006B424A" w:rsidRDefault="006917AF" w:rsidP="006B424A">
      <w:pPr>
        <w:pStyle w:val="NormalWeb"/>
        <w:numPr>
          <w:ilvl w:val="0"/>
          <w:numId w:val="1"/>
        </w:numPr>
        <w:jc w:val="both"/>
        <w:rPr>
          <w:rFonts w:ascii="Arial" w:hAnsi="Arial" w:cs="Arial"/>
          <w:sz w:val="22"/>
          <w:szCs w:val="22"/>
        </w:rPr>
      </w:pPr>
      <w:r w:rsidRPr="006B424A">
        <w:rPr>
          <w:rStyle w:val="Strong"/>
          <w:rFonts w:ascii="Arial" w:hAnsi="Arial" w:cs="Arial"/>
          <w:sz w:val="22"/>
          <w:szCs w:val="22"/>
        </w:rPr>
        <w:t>Sector Público:</w:t>
      </w:r>
      <w:r w:rsidRPr="006B424A">
        <w:rPr>
          <w:rFonts w:ascii="Arial" w:hAnsi="Arial" w:cs="Arial"/>
          <w:sz w:val="22"/>
          <w:szCs w:val="22"/>
        </w:rPr>
        <w:t xml:space="preserve"> Según las NOGAI, el Estado y todas las agencias, empresas y otras entidades bajo control estatal o con presupuesto público que gestionan programas, bienes y servicios al público.</w:t>
      </w:r>
    </w:p>
    <w:p w14:paraId="2E50306A" w14:textId="77777777" w:rsidR="006917AF" w:rsidRPr="006B424A" w:rsidRDefault="006917AF" w:rsidP="006B424A">
      <w:pPr>
        <w:pStyle w:val="NormalWeb"/>
        <w:numPr>
          <w:ilvl w:val="0"/>
          <w:numId w:val="1"/>
        </w:numPr>
        <w:spacing w:before="0" w:beforeAutospacing="0" w:after="0" w:afterAutospacing="0"/>
        <w:jc w:val="both"/>
        <w:rPr>
          <w:rFonts w:ascii="Arial" w:hAnsi="Arial" w:cs="Arial"/>
          <w:sz w:val="22"/>
          <w:szCs w:val="22"/>
        </w:rPr>
      </w:pPr>
      <w:r w:rsidRPr="006B424A">
        <w:rPr>
          <w:rStyle w:val="Strong"/>
          <w:rFonts w:ascii="Arial" w:hAnsi="Arial" w:cs="Arial"/>
          <w:sz w:val="22"/>
          <w:szCs w:val="22"/>
        </w:rPr>
        <w:t>Unidad Central de Armonización (Central Harmonisation Unit - CHU):</w:t>
      </w:r>
      <w:r w:rsidRPr="006B424A">
        <w:rPr>
          <w:rFonts w:ascii="Arial" w:hAnsi="Arial" w:cs="Arial"/>
          <w:sz w:val="22"/>
          <w:szCs w:val="22"/>
        </w:rPr>
        <w:t xml:space="preserve"> El Consejo de Auditoría Interna General de Gobierno (CAIGG) o el Servicio de Auditoría Interna de Gobierno (SAIG) son reconocidos como la Unidad Central de Armonización (CHU) a nivel gubernamental. Este organismo es responsable de establecer el marco normativo general, definir estándares y desarrollar instrumentos para la gestión de la auditoría interna en el sector público. Asimismo, tiene la función de evaluar la calidad de las disposiciones normativas y metodológicas aplicadas en la auditoría interna, garantizando su efectividad y alineación con las mejores prácticas internacionales.</w:t>
      </w:r>
    </w:p>
    <w:p w14:paraId="555E15A5" w14:textId="77777777" w:rsidR="006917AF" w:rsidRPr="00016FA7" w:rsidRDefault="006917AF" w:rsidP="006B424A">
      <w:pPr>
        <w:pStyle w:val="NormalWeb"/>
        <w:spacing w:before="0" w:beforeAutospacing="0" w:after="0" w:afterAutospacing="0"/>
        <w:ind w:left="709"/>
        <w:jc w:val="both"/>
        <w:rPr>
          <w:rFonts w:ascii="Arial" w:hAnsi="Arial" w:cs="Arial"/>
          <w:sz w:val="22"/>
          <w:szCs w:val="22"/>
        </w:rPr>
      </w:pPr>
      <w:r w:rsidRPr="006B424A">
        <w:rPr>
          <w:rFonts w:ascii="Arial" w:hAnsi="Arial" w:cs="Arial"/>
          <w:sz w:val="22"/>
          <w:szCs w:val="22"/>
        </w:rPr>
        <w:t>Además, la CHU puede asumir la responsabilidad de dirigir, coordinar, supervisar y evaluar el desempeño de las unidades de auditoría interna de los servicios públicos que dependen o están vinculados al Poder Ejecutivo, asegurando su eficiencia y cumplimiento normativo.</w:t>
      </w:r>
    </w:p>
    <w:p w14:paraId="06375604" w14:textId="77777777" w:rsidR="006917AF" w:rsidRPr="00016FA7" w:rsidRDefault="006917AF" w:rsidP="006917AF">
      <w:pPr>
        <w:pStyle w:val="ListParagraph"/>
        <w:spacing w:after="0" w:line="240" w:lineRule="auto"/>
        <w:jc w:val="both"/>
        <w:rPr>
          <w:rFonts w:ascii="Arial" w:hAnsi="Arial" w:cs="Arial"/>
        </w:rPr>
      </w:pPr>
    </w:p>
    <w:p w14:paraId="64EE57DA" w14:textId="77777777" w:rsidR="00E75A1F" w:rsidRPr="00016FA7" w:rsidRDefault="00E75A1F" w:rsidP="00474866">
      <w:pPr>
        <w:spacing w:after="0" w:line="240" w:lineRule="auto"/>
        <w:jc w:val="both"/>
        <w:rPr>
          <w:rFonts w:ascii="Arial" w:hAnsi="Arial" w:cs="Arial"/>
          <w:b/>
          <w:bCs/>
        </w:rPr>
      </w:pPr>
    </w:p>
    <w:p w14:paraId="3471467D" w14:textId="58F3B404" w:rsidR="00E75A1F" w:rsidRPr="00016FA7" w:rsidRDefault="0063480E" w:rsidP="00474866">
      <w:pPr>
        <w:spacing w:line="240" w:lineRule="auto"/>
        <w:jc w:val="both"/>
        <w:rPr>
          <w:rFonts w:ascii="Arial" w:hAnsi="Arial" w:cs="Arial"/>
          <w:b/>
          <w:lang w:val="es-ES"/>
        </w:rPr>
      </w:pPr>
      <w:r w:rsidRPr="00016FA7">
        <w:rPr>
          <w:rFonts w:ascii="Arial" w:hAnsi="Arial" w:cs="Arial"/>
          <w:b/>
          <w:lang w:val="es-ES"/>
        </w:rPr>
        <w:t>4</w:t>
      </w:r>
      <w:r w:rsidR="00E75A1F" w:rsidRPr="00016FA7">
        <w:rPr>
          <w:rFonts w:ascii="Arial" w:hAnsi="Arial" w:cs="Arial"/>
          <w:b/>
          <w:lang w:val="es-ES"/>
        </w:rPr>
        <w:t>. RESPONSABILIDADES</w:t>
      </w:r>
    </w:p>
    <w:tbl>
      <w:tblPr>
        <w:tblStyle w:val="TableGrid"/>
        <w:tblW w:w="0" w:type="auto"/>
        <w:tblInd w:w="108" w:type="dxa"/>
        <w:tblLook w:val="04A0" w:firstRow="1" w:lastRow="0" w:firstColumn="1" w:lastColumn="0" w:noHBand="0" w:noVBand="1"/>
      </w:tblPr>
      <w:tblGrid>
        <w:gridCol w:w="2014"/>
        <w:gridCol w:w="8051"/>
      </w:tblGrid>
      <w:tr w:rsidR="00E75A1F" w:rsidRPr="00474866" w14:paraId="6A4DDED5" w14:textId="77777777" w:rsidTr="00CE771C">
        <w:tc>
          <w:tcPr>
            <w:tcW w:w="2014" w:type="dxa"/>
            <w:shd w:val="clear" w:color="auto" w:fill="0070C0"/>
          </w:tcPr>
          <w:p w14:paraId="78A9F250" w14:textId="6C654442" w:rsidR="00E75A1F" w:rsidRPr="00796232" w:rsidRDefault="00E75A1F" w:rsidP="00CE771C">
            <w:pPr>
              <w:tabs>
                <w:tab w:val="right" w:pos="1798"/>
              </w:tabs>
              <w:jc w:val="center"/>
              <w:rPr>
                <w:rFonts w:ascii="Arial" w:hAnsi="Arial" w:cs="Arial"/>
                <w:b/>
                <w:color w:val="FFFFFF" w:themeColor="background1"/>
                <w:lang w:val="es-ES"/>
              </w:rPr>
            </w:pPr>
            <w:r w:rsidRPr="00796232">
              <w:rPr>
                <w:rFonts w:ascii="Arial" w:hAnsi="Arial" w:cs="Arial"/>
                <w:b/>
                <w:color w:val="FFFFFF" w:themeColor="background1"/>
                <w:lang w:val="es-ES"/>
              </w:rPr>
              <w:t>Cargo</w:t>
            </w:r>
          </w:p>
        </w:tc>
        <w:tc>
          <w:tcPr>
            <w:tcW w:w="8051" w:type="dxa"/>
            <w:shd w:val="clear" w:color="auto" w:fill="0070C0"/>
          </w:tcPr>
          <w:p w14:paraId="2AC1DD27" w14:textId="77777777" w:rsidR="00E75A1F" w:rsidRPr="00796232" w:rsidRDefault="00E75A1F" w:rsidP="00CE771C">
            <w:pPr>
              <w:jc w:val="center"/>
              <w:rPr>
                <w:rFonts w:ascii="Arial" w:hAnsi="Arial" w:cs="Arial"/>
                <w:b/>
                <w:color w:val="FFFFFF" w:themeColor="background1"/>
                <w:lang w:val="es-ES"/>
              </w:rPr>
            </w:pPr>
            <w:r w:rsidRPr="00796232">
              <w:rPr>
                <w:rFonts w:ascii="Arial" w:hAnsi="Arial" w:cs="Arial"/>
                <w:b/>
                <w:color w:val="FFFFFF" w:themeColor="background1"/>
                <w:lang w:val="es-ES"/>
              </w:rPr>
              <w:t>Descripción</w:t>
            </w:r>
          </w:p>
        </w:tc>
      </w:tr>
      <w:tr w:rsidR="00E75A1F" w:rsidRPr="00474866" w14:paraId="1EFFB697" w14:textId="77777777" w:rsidTr="00FA224B">
        <w:tc>
          <w:tcPr>
            <w:tcW w:w="2014" w:type="dxa"/>
            <w:vAlign w:val="center"/>
          </w:tcPr>
          <w:p w14:paraId="486A7E06" w14:textId="0A95B284" w:rsidR="00E75A1F" w:rsidRPr="00016FA7" w:rsidRDefault="00E75A1F" w:rsidP="00FA224B">
            <w:pPr>
              <w:jc w:val="center"/>
              <w:rPr>
                <w:rFonts w:ascii="Arial" w:hAnsi="Arial" w:cs="Arial"/>
                <w:b/>
                <w:bCs/>
                <w:lang w:val="es-ES"/>
              </w:rPr>
            </w:pPr>
            <w:r w:rsidRPr="00016FA7">
              <w:rPr>
                <w:rFonts w:ascii="Arial" w:hAnsi="Arial" w:cs="Arial"/>
                <w:b/>
                <w:bCs/>
                <w:lang w:val="es-ES"/>
              </w:rPr>
              <w:t>Jefe de Auditoría</w:t>
            </w:r>
          </w:p>
        </w:tc>
        <w:tc>
          <w:tcPr>
            <w:tcW w:w="8051" w:type="dxa"/>
          </w:tcPr>
          <w:p w14:paraId="3F304FF0" w14:textId="77777777" w:rsidR="00146B8D" w:rsidRPr="00016FA7" w:rsidRDefault="00146B8D" w:rsidP="00763234">
            <w:pPr>
              <w:pStyle w:val="ListParagraph"/>
              <w:numPr>
                <w:ilvl w:val="0"/>
                <w:numId w:val="19"/>
              </w:numPr>
              <w:ind w:left="579"/>
              <w:jc w:val="both"/>
              <w:rPr>
                <w:rFonts w:ascii="Arial" w:hAnsi="Arial" w:cs="Arial"/>
                <w:bCs/>
                <w:lang w:val="es-ES"/>
              </w:rPr>
            </w:pPr>
            <w:r w:rsidRPr="00016FA7">
              <w:rPr>
                <w:rFonts w:ascii="Arial" w:hAnsi="Arial" w:cs="Arial"/>
                <w:bCs/>
                <w:lang w:val="es-ES"/>
              </w:rPr>
              <w:t>Supervisa la aplicación del debido cuidado profesional en todas las fases del trabajo.</w:t>
            </w:r>
          </w:p>
          <w:p w14:paraId="3B777125" w14:textId="77777777" w:rsidR="00146B8D" w:rsidRPr="00016FA7" w:rsidRDefault="00146B8D" w:rsidP="00763234">
            <w:pPr>
              <w:pStyle w:val="ListParagraph"/>
              <w:numPr>
                <w:ilvl w:val="0"/>
                <w:numId w:val="19"/>
              </w:numPr>
              <w:ind w:left="579"/>
              <w:jc w:val="both"/>
              <w:rPr>
                <w:rFonts w:ascii="Arial" w:hAnsi="Arial" w:cs="Arial"/>
                <w:bCs/>
                <w:lang w:val="es-ES"/>
              </w:rPr>
            </w:pPr>
            <w:r w:rsidRPr="00016FA7">
              <w:rPr>
                <w:rFonts w:ascii="Arial" w:hAnsi="Arial" w:cs="Arial"/>
                <w:bCs/>
                <w:lang w:val="es-ES"/>
              </w:rPr>
              <w:t>Revisa y valida los informes finales, asegurando evidencia suficiente y conclusiones objetivas.</w:t>
            </w:r>
          </w:p>
          <w:p w14:paraId="785CE665" w14:textId="703C72CD" w:rsidR="00E75A1F" w:rsidRPr="00016FA7" w:rsidRDefault="00146B8D" w:rsidP="00763234">
            <w:pPr>
              <w:pStyle w:val="ListParagraph"/>
              <w:numPr>
                <w:ilvl w:val="0"/>
                <w:numId w:val="19"/>
              </w:numPr>
              <w:ind w:left="579"/>
              <w:jc w:val="both"/>
              <w:rPr>
                <w:rFonts w:ascii="Arial" w:hAnsi="Arial" w:cs="Arial"/>
                <w:bCs/>
                <w:lang w:val="es-ES"/>
              </w:rPr>
            </w:pPr>
            <w:r w:rsidRPr="00016FA7">
              <w:rPr>
                <w:rFonts w:ascii="Arial" w:hAnsi="Arial" w:cs="Arial"/>
                <w:bCs/>
                <w:lang w:val="es-ES"/>
              </w:rPr>
              <w:t>Monitorea la mejora continua, analizando lecciones aprendidas y ajustes necesarios.</w:t>
            </w:r>
          </w:p>
        </w:tc>
      </w:tr>
      <w:tr w:rsidR="00E75A1F" w:rsidRPr="00474866" w14:paraId="250BD160" w14:textId="77777777" w:rsidTr="00FA224B">
        <w:tc>
          <w:tcPr>
            <w:tcW w:w="2014" w:type="dxa"/>
            <w:vAlign w:val="center"/>
          </w:tcPr>
          <w:p w14:paraId="530C891C" w14:textId="6A3E5D35" w:rsidR="00E75A1F" w:rsidRPr="00016FA7" w:rsidRDefault="00E75A1F" w:rsidP="00FA224B">
            <w:pPr>
              <w:jc w:val="center"/>
              <w:rPr>
                <w:rFonts w:ascii="Arial" w:hAnsi="Arial" w:cs="Arial"/>
                <w:b/>
                <w:bCs/>
                <w:lang w:val="es-ES"/>
              </w:rPr>
            </w:pPr>
            <w:r w:rsidRPr="00016FA7">
              <w:rPr>
                <w:rFonts w:ascii="Arial" w:hAnsi="Arial" w:cs="Arial"/>
                <w:b/>
                <w:bCs/>
                <w:lang w:val="es-ES"/>
              </w:rPr>
              <w:t>Supervisor</w:t>
            </w:r>
          </w:p>
        </w:tc>
        <w:tc>
          <w:tcPr>
            <w:tcW w:w="8051" w:type="dxa"/>
          </w:tcPr>
          <w:p w14:paraId="2EDE5AD9" w14:textId="77777777" w:rsidR="007F45B2" w:rsidRPr="00016FA7" w:rsidRDefault="007F45B2" w:rsidP="00763234">
            <w:pPr>
              <w:pStyle w:val="ListParagraph"/>
              <w:numPr>
                <w:ilvl w:val="0"/>
                <w:numId w:val="19"/>
              </w:numPr>
              <w:ind w:left="579"/>
              <w:jc w:val="both"/>
              <w:rPr>
                <w:rFonts w:ascii="Arial" w:hAnsi="Arial" w:cs="Arial"/>
                <w:bCs/>
                <w:lang w:val="es-ES"/>
              </w:rPr>
            </w:pPr>
            <w:r w:rsidRPr="00016FA7">
              <w:rPr>
                <w:rFonts w:ascii="Arial" w:hAnsi="Arial" w:cs="Arial"/>
                <w:bCs/>
                <w:lang w:val="es-ES"/>
              </w:rPr>
              <w:t>Evalúa la planificación, verificando la correcta identificación de riesgos y complejidad del trabajo.</w:t>
            </w:r>
          </w:p>
          <w:p w14:paraId="23500283" w14:textId="77777777" w:rsidR="007F45B2" w:rsidRPr="00016FA7" w:rsidRDefault="007F45B2" w:rsidP="00763234">
            <w:pPr>
              <w:pStyle w:val="ListParagraph"/>
              <w:numPr>
                <w:ilvl w:val="0"/>
                <w:numId w:val="19"/>
              </w:numPr>
              <w:ind w:left="579"/>
              <w:jc w:val="both"/>
              <w:rPr>
                <w:rFonts w:ascii="Arial" w:hAnsi="Arial" w:cs="Arial"/>
                <w:bCs/>
                <w:lang w:val="es-ES"/>
              </w:rPr>
            </w:pPr>
            <w:r w:rsidRPr="00016FA7">
              <w:rPr>
                <w:rFonts w:ascii="Arial" w:hAnsi="Arial" w:cs="Arial"/>
                <w:bCs/>
                <w:lang w:val="es-ES"/>
              </w:rPr>
              <w:t>Revisa periódicamente los hallazgos y papeles de trabajo, garantizando calidad y objetividad.</w:t>
            </w:r>
          </w:p>
          <w:p w14:paraId="22F4D13D" w14:textId="4F7D2099" w:rsidR="00E75A1F" w:rsidRPr="00016FA7" w:rsidRDefault="007F45B2" w:rsidP="00763234">
            <w:pPr>
              <w:pStyle w:val="ListParagraph"/>
              <w:numPr>
                <w:ilvl w:val="0"/>
                <w:numId w:val="19"/>
              </w:numPr>
              <w:ind w:left="579"/>
              <w:jc w:val="both"/>
              <w:rPr>
                <w:rFonts w:ascii="Arial" w:hAnsi="Arial" w:cs="Arial"/>
                <w:bCs/>
                <w:lang w:val="es-ES"/>
              </w:rPr>
            </w:pPr>
            <w:r w:rsidRPr="00016FA7">
              <w:rPr>
                <w:rFonts w:ascii="Arial" w:hAnsi="Arial" w:cs="Arial"/>
                <w:bCs/>
                <w:lang w:val="es-ES"/>
              </w:rPr>
              <w:t>Aplica supervisión continua, documentando validaciones en los formularios correspondientes</w:t>
            </w:r>
          </w:p>
        </w:tc>
      </w:tr>
      <w:tr w:rsidR="00E75A1F" w:rsidRPr="00474866" w14:paraId="280DAD41" w14:textId="77777777" w:rsidTr="00FA224B">
        <w:tc>
          <w:tcPr>
            <w:tcW w:w="2014" w:type="dxa"/>
            <w:vAlign w:val="center"/>
          </w:tcPr>
          <w:p w14:paraId="516C1CE7" w14:textId="397057DE" w:rsidR="00E75A1F" w:rsidRPr="00016FA7" w:rsidRDefault="00E75A1F" w:rsidP="00FA224B">
            <w:pPr>
              <w:jc w:val="center"/>
              <w:rPr>
                <w:rFonts w:ascii="Arial" w:hAnsi="Arial" w:cs="Arial"/>
                <w:b/>
                <w:bCs/>
                <w:lang w:val="es-ES"/>
              </w:rPr>
            </w:pPr>
            <w:r w:rsidRPr="00016FA7">
              <w:rPr>
                <w:rFonts w:ascii="Arial" w:hAnsi="Arial" w:cs="Arial"/>
                <w:b/>
                <w:bCs/>
                <w:lang w:val="es-ES"/>
              </w:rPr>
              <w:t xml:space="preserve">Auditor </w:t>
            </w:r>
            <w:r w:rsidR="00CE771C" w:rsidRPr="00016FA7">
              <w:rPr>
                <w:rFonts w:ascii="Arial" w:hAnsi="Arial" w:cs="Arial"/>
                <w:b/>
                <w:bCs/>
                <w:lang w:val="es-ES"/>
              </w:rPr>
              <w:t>Interno</w:t>
            </w:r>
          </w:p>
        </w:tc>
        <w:tc>
          <w:tcPr>
            <w:tcW w:w="8051" w:type="dxa"/>
          </w:tcPr>
          <w:p w14:paraId="594E8EE7" w14:textId="77777777" w:rsidR="007F45B2" w:rsidRPr="00016FA7" w:rsidRDefault="007F45B2" w:rsidP="00763234">
            <w:pPr>
              <w:pStyle w:val="ListParagraph"/>
              <w:numPr>
                <w:ilvl w:val="0"/>
                <w:numId w:val="19"/>
              </w:numPr>
              <w:ind w:left="579"/>
              <w:jc w:val="both"/>
              <w:rPr>
                <w:rFonts w:ascii="Arial" w:hAnsi="Arial" w:cs="Arial"/>
                <w:bCs/>
                <w:lang w:val="es-ES"/>
              </w:rPr>
            </w:pPr>
            <w:r w:rsidRPr="00016FA7">
              <w:rPr>
                <w:rFonts w:ascii="Arial" w:hAnsi="Arial" w:cs="Arial"/>
                <w:bCs/>
                <w:lang w:val="es-ES"/>
              </w:rPr>
              <w:t>Analizan riesgos y complejidad antes de iniciar el trabajo.</w:t>
            </w:r>
          </w:p>
          <w:p w14:paraId="35CD231D" w14:textId="77777777" w:rsidR="007F45B2" w:rsidRPr="00016FA7" w:rsidRDefault="007F45B2" w:rsidP="00763234">
            <w:pPr>
              <w:pStyle w:val="ListParagraph"/>
              <w:numPr>
                <w:ilvl w:val="0"/>
                <w:numId w:val="19"/>
              </w:numPr>
              <w:ind w:left="579"/>
              <w:jc w:val="both"/>
              <w:rPr>
                <w:rFonts w:ascii="Arial" w:hAnsi="Arial" w:cs="Arial"/>
                <w:bCs/>
                <w:lang w:val="es-ES"/>
              </w:rPr>
            </w:pPr>
            <w:r w:rsidRPr="00016FA7">
              <w:rPr>
                <w:rFonts w:ascii="Arial" w:hAnsi="Arial" w:cs="Arial"/>
                <w:bCs/>
                <w:lang w:val="es-ES"/>
              </w:rPr>
              <w:t>Documentan inconsistencias y señales de alerta, aplicando escepticismo profesional.</w:t>
            </w:r>
          </w:p>
          <w:p w14:paraId="19C8D84B" w14:textId="77777777" w:rsidR="007F45B2" w:rsidRPr="00016FA7" w:rsidRDefault="007F45B2" w:rsidP="00763234">
            <w:pPr>
              <w:pStyle w:val="ListParagraph"/>
              <w:numPr>
                <w:ilvl w:val="0"/>
                <w:numId w:val="19"/>
              </w:numPr>
              <w:ind w:left="579"/>
              <w:jc w:val="both"/>
              <w:rPr>
                <w:rFonts w:ascii="Arial" w:hAnsi="Arial" w:cs="Arial"/>
                <w:bCs/>
                <w:lang w:val="es-ES"/>
              </w:rPr>
            </w:pPr>
            <w:r w:rsidRPr="00016FA7">
              <w:rPr>
                <w:rFonts w:ascii="Arial" w:hAnsi="Arial" w:cs="Arial"/>
                <w:bCs/>
                <w:lang w:val="es-ES"/>
              </w:rPr>
              <w:t xml:space="preserve">Declaran conflictos de interés y actualizan la información si surgen </w:t>
            </w:r>
            <w:r w:rsidRPr="00016FA7">
              <w:rPr>
                <w:rFonts w:ascii="Arial" w:hAnsi="Arial" w:cs="Arial"/>
                <w:bCs/>
                <w:lang w:val="es-ES"/>
              </w:rPr>
              <w:lastRenderedPageBreak/>
              <w:t>cambios.</w:t>
            </w:r>
          </w:p>
          <w:p w14:paraId="3B9D9945" w14:textId="025D450E" w:rsidR="00E75A1F" w:rsidRPr="00016FA7" w:rsidRDefault="007F45B2" w:rsidP="00763234">
            <w:pPr>
              <w:pStyle w:val="ListParagraph"/>
              <w:numPr>
                <w:ilvl w:val="0"/>
                <w:numId w:val="19"/>
              </w:numPr>
              <w:ind w:left="579"/>
              <w:jc w:val="both"/>
              <w:rPr>
                <w:rFonts w:ascii="Arial" w:hAnsi="Arial" w:cs="Arial"/>
                <w:bCs/>
                <w:lang w:val="es-ES"/>
              </w:rPr>
            </w:pPr>
            <w:r w:rsidRPr="00016FA7">
              <w:rPr>
                <w:rFonts w:ascii="Arial" w:hAnsi="Arial" w:cs="Arial"/>
                <w:bCs/>
                <w:lang w:val="es-ES"/>
              </w:rPr>
              <w:t>Participan en evaluaciones post-trabajo, contribuyendo a la mejora continua.</w:t>
            </w:r>
          </w:p>
        </w:tc>
      </w:tr>
    </w:tbl>
    <w:p w14:paraId="2FBC7181" w14:textId="77777777" w:rsidR="00E75A1F" w:rsidRPr="00474866" w:rsidRDefault="00E75A1F" w:rsidP="00474866">
      <w:pPr>
        <w:spacing w:after="0" w:line="240" w:lineRule="auto"/>
        <w:jc w:val="both"/>
        <w:rPr>
          <w:rFonts w:ascii="Arial" w:hAnsi="Arial" w:cs="Arial"/>
          <w:b/>
          <w:lang w:val="es-ES"/>
        </w:rPr>
      </w:pPr>
    </w:p>
    <w:p w14:paraId="3A742087" w14:textId="708DAABB" w:rsidR="002377D6" w:rsidRDefault="0063480E" w:rsidP="002377D6">
      <w:pPr>
        <w:spacing w:line="240" w:lineRule="auto"/>
        <w:jc w:val="both"/>
        <w:rPr>
          <w:rFonts w:ascii="Arial" w:hAnsi="Arial" w:cs="Arial"/>
          <w:b/>
          <w:color w:val="000000" w:themeColor="text1"/>
          <w:lang w:val="es-ES"/>
        </w:rPr>
      </w:pPr>
      <w:r w:rsidRPr="00474866">
        <w:rPr>
          <w:rFonts w:ascii="Arial" w:hAnsi="Arial" w:cs="Arial"/>
          <w:b/>
          <w:color w:val="000000" w:themeColor="text1"/>
          <w:lang w:val="es-ES"/>
        </w:rPr>
        <w:t>5</w:t>
      </w:r>
      <w:r w:rsidR="00E75A1F" w:rsidRPr="00474866">
        <w:rPr>
          <w:rFonts w:ascii="Arial" w:hAnsi="Arial" w:cs="Arial"/>
          <w:b/>
          <w:color w:val="000000" w:themeColor="text1"/>
          <w:lang w:val="es-ES"/>
        </w:rPr>
        <w:t xml:space="preserve">. </w:t>
      </w:r>
      <w:r w:rsidR="00796232">
        <w:rPr>
          <w:rFonts w:ascii="Arial" w:hAnsi="Arial" w:cs="Arial"/>
          <w:b/>
          <w:color w:val="000000" w:themeColor="text1"/>
          <w:lang w:val="es-ES"/>
        </w:rPr>
        <w:t xml:space="preserve">DESCRIPCIÓN </w:t>
      </w:r>
      <w:r w:rsidR="00E75A1F" w:rsidRPr="00474866">
        <w:rPr>
          <w:rFonts w:ascii="Arial" w:hAnsi="Arial" w:cs="Arial"/>
          <w:b/>
          <w:color w:val="000000" w:themeColor="text1"/>
          <w:lang w:val="es-ES"/>
        </w:rPr>
        <w:t xml:space="preserve">PROCEDIMIENTO </w:t>
      </w:r>
      <w:r w:rsidR="00FE4C0E" w:rsidRPr="00FE4C0E">
        <w:rPr>
          <w:rFonts w:ascii="Arial" w:hAnsi="Arial" w:cs="Arial"/>
          <w:b/>
          <w:color w:val="000000" w:themeColor="text1"/>
          <w:lang w:val="es-ES"/>
        </w:rPr>
        <w:t>IMPLEMENTACIÓN DEL DEBIDO CUIDADO PROFESIONAL Y ESCEPTICISMO</w:t>
      </w:r>
    </w:p>
    <w:p w14:paraId="0F61DE8A" w14:textId="182B0C58" w:rsidR="009D1F2C" w:rsidRPr="00016FA7" w:rsidRDefault="007313CE" w:rsidP="002377D6">
      <w:pPr>
        <w:spacing w:line="240" w:lineRule="auto"/>
        <w:jc w:val="both"/>
        <w:rPr>
          <w:rFonts w:ascii="Arial" w:hAnsi="Arial" w:cs="Arial"/>
          <w:bCs/>
          <w:lang w:val="es-ES"/>
        </w:rPr>
      </w:pPr>
      <w:r>
        <w:rPr>
          <w:rFonts w:ascii="Arial" w:hAnsi="Arial" w:cs="Arial"/>
          <w:bCs/>
          <w:color w:val="000000" w:themeColor="text1"/>
          <w:lang w:val="es-ES"/>
        </w:rPr>
        <w:t>L</w:t>
      </w:r>
      <w:r w:rsidR="00316C23" w:rsidRPr="00316C23">
        <w:rPr>
          <w:rFonts w:ascii="Arial" w:hAnsi="Arial" w:cs="Arial"/>
          <w:bCs/>
          <w:color w:val="000000" w:themeColor="text1"/>
          <w:lang w:val="es-ES"/>
        </w:rPr>
        <w:t xml:space="preserve">a implementación del presente </w:t>
      </w:r>
      <w:r w:rsidR="00316C23">
        <w:rPr>
          <w:rFonts w:ascii="Arial" w:hAnsi="Arial" w:cs="Arial"/>
          <w:bCs/>
          <w:color w:val="000000" w:themeColor="text1"/>
          <w:lang w:val="es-ES"/>
        </w:rPr>
        <w:t>P</w:t>
      </w:r>
      <w:r w:rsidR="00316C23" w:rsidRPr="00316C23">
        <w:rPr>
          <w:rFonts w:ascii="Arial" w:hAnsi="Arial" w:cs="Arial"/>
          <w:bCs/>
          <w:color w:val="000000" w:themeColor="text1"/>
          <w:lang w:val="es-ES"/>
        </w:rPr>
        <w:t xml:space="preserve">rocedimiento de Debido Cuidado Profesional y </w:t>
      </w:r>
      <w:r w:rsidR="00AB06C0" w:rsidRPr="00316C23">
        <w:rPr>
          <w:rFonts w:ascii="Arial" w:hAnsi="Arial" w:cs="Arial"/>
          <w:bCs/>
          <w:color w:val="000000" w:themeColor="text1"/>
          <w:lang w:val="es-ES"/>
        </w:rPr>
        <w:t>Escepticismo</w:t>
      </w:r>
      <w:r w:rsidR="00316C23" w:rsidRPr="00316C23">
        <w:rPr>
          <w:rFonts w:ascii="Arial" w:hAnsi="Arial" w:cs="Arial"/>
          <w:bCs/>
          <w:color w:val="000000" w:themeColor="text1"/>
          <w:lang w:val="es-ES"/>
        </w:rPr>
        <w:t xml:space="preserve"> se </w:t>
      </w:r>
      <w:r>
        <w:rPr>
          <w:rFonts w:ascii="Arial" w:hAnsi="Arial" w:cs="Arial"/>
          <w:bCs/>
          <w:color w:val="000000" w:themeColor="text1"/>
          <w:lang w:val="es-ES"/>
        </w:rPr>
        <w:t>evidencia</w:t>
      </w:r>
      <w:r w:rsidR="00E20BAA">
        <w:rPr>
          <w:rFonts w:ascii="Arial" w:hAnsi="Arial" w:cs="Arial"/>
          <w:bCs/>
          <w:color w:val="000000" w:themeColor="text1"/>
          <w:lang w:val="es-ES"/>
        </w:rPr>
        <w:t xml:space="preserve">rá mediante el uso de </w:t>
      </w:r>
      <w:r w:rsidR="00316C23" w:rsidRPr="00316C23">
        <w:rPr>
          <w:rFonts w:ascii="Arial" w:hAnsi="Arial" w:cs="Arial"/>
          <w:bCs/>
          <w:color w:val="000000" w:themeColor="text1"/>
          <w:lang w:val="es-ES"/>
        </w:rPr>
        <w:t xml:space="preserve">los formularios ya definidos en los procesos clave de la función de auditoría interna, como el Procedimiento de Planificación del Trabajo, el Procedimiento de Objetividad y Conflictos de Intereses, el Procedimiento de Ejecución del Trabajo, el Procedimiento de Supervisión del Trabajo y el Procedimiento de Evaluación y Mejora Continua. La utilización de estos formularios </w:t>
      </w:r>
      <w:r w:rsidR="00316C23" w:rsidRPr="00016FA7">
        <w:rPr>
          <w:rFonts w:ascii="Arial" w:hAnsi="Arial" w:cs="Arial"/>
          <w:bCs/>
          <w:lang w:val="es-ES"/>
        </w:rPr>
        <w:t>asegura la integración, consistencia y cumplimiento de las Normas Globales de Auditoría Interna en cada etapa del proceso.</w:t>
      </w:r>
    </w:p>
    <w:p w14:paraId="0D1DF1C0" w14:textId="427F8F08" w:rsidR="004F45AB" w:rsidRPr="00016FA7" w:rsidRDefault="004F45AB" w:rsidP="00A7029A">
      <w:pPr>
        <w:pStyle w:val="ListParagraph"/>
        <w:numPr>
          <w:ilvl w:val="1"/>
          <w:numId w:val="21"/>
        </w:numPr>
        <w:spacing w:after="0" w:line="259" w:lineRule="auto"/>
        <w:jc w:val="both"/>
        <w:rPr>
          <w:rFonts w:ascii="Arial" w:hAnsi="Arial" w:cs="Arial"/>
          <w:b/>
          <w:bCs/>
          <w:lang w:val="es-ES"/>
        </w:rPr>
      </w:pPr>
      <w:r w:rsidRPr="00016FA7">
        <w:rPr>
          <w:rFonts w:ascii="Arial" w:hAnsi="Arial" w:cs="Arial"/>
          <w:b/>
          <w:bCs/>
          <w:lang w:val="es-ES"/>
        </w:rPr>
        <w:t>Planificación del Trabajo</w:t>
      </w:r>
    </w:p>
    <w:p w14:paraId="5F6AD6D5" w14:textId="77777777" w:rsidR="004F45AB" w:rsidRPr="00016FA7" w:rsidRDefault="004F45AB" w:rsidP="004F45AB">
      <w:pPr>
        <w:spacing w:after="0" w:line="259" w:lineRule="auto"/>
        <w:jc w:val="both"/>
        <w:rPr>
          <w:rFonts w:ascii="Arial" w:hAnsi="Arial" w:cs="Arial"/>
          <w:lang w:val="es-ES"/>
        </w:rPr>
      </w:pPr>
    </w:p>
    <w:p w14:paraId="50D01536" w14:textId="088F5383" w:rsidR="004F45AB" w:rsidRPr="00016FA7" w:rsidRDefault="004F45AB" w:rsidP="004F45AB">
      <w:pPr>
        <w:spacing w:after="0" w:line="259" w:lineRule="auto"/>
        <w:jc w:val="both"/>
        <w:rPr>
          <w:rFonts w:ascii="Arial" w:hAnsi="Arial" w:cs="Arial"/>
          <w:lang w:val="es-ES"/>
        </w:rPr>
      </w:pPr>
      <w:r w:rsidRPr="00016FA7">
        <w:rPr>
          <w:rFonts w:ascii="Arial" w:hAnsi="Arial" w:cs="Arial"/>
          <w:lang w:val="es-ES"/>
        </w:rPr>
        <w:t xml:space="preserve">Antes de iniciar un trabajo, el equipo de auditoría interna debe analizar el entorno operativo, los riesgos asociados y la complejidad del trabajo. Este análisis debe documentarse en el </w:t>
      </w:r>
      <w:r w:rsidRPr="00016FA7">
        <w:rPr>
          <w:rFonts w:ascii="Arial" w:hAnsi="Arial" w:cs="Arial"/>
          <w:b/>
          <w:bCs/>
          <w:i/>
          <w:iCs/>
          <w:lang w:val="es-ES"/>
        </w:rPr>
        <w:t xml:space="preserve">Formulario </w:t>
      </w:r>
      <w:r w:rsidR="00861CA7" w:rsidRPr="00016FA7">
        <w:rPr>
          <w:rFonts w:ascii="Arial" w:hAnsi="Arial" w:cs="Arial"/>
          <w:b/>
          <w:bCs/>
          <w:i/>
          <w:iCs/>
          <w:lang w:val="es-ES"/>
        </w:rPr>
        <w:t>………….</w:t>
      </w:r>
      <w:r w:rsidR="003E1B9C" w:rsidRPr="00016FA7">
        <w:rPr>
          <w:rFonts w:ascii="Arial" w:hAnsi="Arial" w:cs="Arial"/>
          <w:b/>
          <w:bCs/>
          <w:lang w:val="es-ES"/>
        </w:rPr>
        <w:t xml:space="preserve"> (Ver Procedimiento Planificación del Trabajo)</w:t>
      </w:r>
      <w:r w:rsidRPr="00016FA7">
        <w:rPr>
          <w:rFonts w:ascii="Arial" w:hAnsi="Arial" w:cs="Arial"/>
          <w:lang w:val="es-ES"/>
        </w:rPr>
        <w:t>, asegurando que se comprenden completamente el alcance y los posibles desafíos del trabajo.</w:t>
      </w:r>
    </w:p>
    <w:p w14:paraId="618DE1CB" w14:textId="77777777" w:rsidR="007313CE" w:rsidRPr="00016FA7" w:rsidRDefault="007313CE" w:rsidP="004F45AB">
      <w:pPr>
        <w:spacing w:after="0" w:line="259" w:lineRule="auto"/>
        <w:jc w:val="both"/>
        <w:rPr>
          <w:rFonts w:ascii="Arial" w:hAnsi="Arial" w:cs="Arial"/>
          <w:lang w:val="es-ES"/>
        </w:rPr>
      </w:pPr>
    </w:p>
    <w:p w14:paraId="4C0AFC8C" w14:textId="11B45AA3" w:rsidR="004F45AB" w:rsidRPr="00016FA7" w:rsidRDefault="004F45AB" w:rsidP="00A7029A">
      <w:pPr>
        <w:pStyle w:val="ListParagraph"/>
        <w:numPr>
          <w:ilvl w:val="1"/>
          <w:numId w:val="21"/>
        </w:numPr>
        <w:spacing w:after="0" w:line="259" w:lineRule="auto"/>
        <w:jc w:val="both"/>
        <w:rPr>
          <w:rFonts w:ascii="Arial" w:hAnsi="Arial" w:cs="Arial"/>
          <w:b/>
          <w:bCs/>
          <w:lang w:val="es-ES"/>
        </w:rPr>
      </w:pPr>
      <w:r w:rsidRPr="00016FA7">
        <w:rPr>
          <w:rFonts w:ascii="Arial" w:hAnsi="Arial" w:cs="Arial"/>
          <w:b/>
          <w:bCs/>
          <w:lang w:val="es-ES"/>
        </w:rPr>
        <w:t>Declaración de Conflictos de Inter</w:t>
      </w:r>
      <w:r w:rsidR="001054C0" w:rsidRPr="00016FA7">
        <w:rPr>
          <w:rFonts w:ascii="Arial" w:hAnsi="Arial" w:cs="Arial"/>
          <w:b/>
          <w:bCs/>
          <w:lang w:val="es-ES"/>
        </w:rPr>
        <w:t>e</w:t>
      </w:r>
      <w:r w:rsidRPr="00016FA7">
        <w:rPr>
          <w:rFonts w:ascii="Arial" w:hAnsi="Arial" w:cs="Arial"/>
          <w:b/>
          <w:bCs/>
          <w:lang w:val="es-ES"/>
        </w:rPr>
        <w:t>s</w:t>
      </w:r>
      <w:r w:rsidR="001054C0" w:rsidRPr="00016FA7">
        <w:rPr>
          <w:rFonts w:ascii="Arial" w:hAnsi="Arial" w:cs="Arial"/>
          <w:b/>
          <w:bCs/>
          <w:lang w:val="es-ES"/>
        </w:rPr>
        <w:t>es</w:t>
      </w:r>
    </w:p>
    <w:p w14:paraId="0B230E8C" w14:textId="77777777" w:rsidR="004F45AB" w:rsidRPr="00016FA7" w:rsidRDefault="004F45AB" w:rsidP="004F45AB">
      <w:pPr>
        <w:spacing w:after="0" w:line="259" w:lineRule="auto"/>
        <w:jc w:val="both"/>
        <w:rPr>
          <w:rFonts w:ascii="Arial" w:hAnsi="Arial" w:cs="Arial"/>
          <w:lang w:val="es-ES"/>
        </w:rPr>
      </w:pPr>
    </w:p>
    <w:p w14:paraId="5C875349" w14:textId="5FE98761" w:rsidR="004F45AB" w:rsidRPr="00016FA7" w:rsidRDefault="004F45AB" w:rsidP="004F45AB">
      <w:pPr>
        <w:spacing w:after="0" w:line="259" w:lineRule="auto"/>
        <w:jc w:val="both"/>
        <w:rPr>
          <w:rFonts w:ascii="Arial" w:hAnsi="Arial" w:cs="Arial"/>
          <w:lang w:val="es-ES"/>
        </w:rPr>
      </w:pPr>
      <w:r w:rsidRPr="00016FA7">
        <w:rPr>
          <w:rFonts w:ascii="Arial" w:hAnsi="Arial" w:cs="Arial"/>
          <w:lang w:val="es-ES"/>
        </w:rPr>
        <w:t xml:space="preserve">Cada auditor asignado al trabajo debe completar el </w:t>
      </w:r>
      <w:r w:rsidRPr="00016FA7">
        <w:rPr>
          <w:rFonts w:ascii="Arial" w:hAnsi="Arial" w:cs="Arial"/>
          <w:b/>
          <w:bCs/>
          <w:i/>
          <w:iCs/>
          <w:lang w:val="es-ES"/>
        </w:rPr>
        <w:t xml:space="preserve">Formulario </w:t>
      </w:r>
      <w:r w:rsidR="00861CA7" w:rsidRPr="00016FA7">
        <w:rPr>
          <w:rFonts w:ascii="Arial" w:hAnsi="Arial" w:cs="Arial"/>
          <w:b/>
          <w:bCs/>
          <w:i/>
          <w:iCs/>
          <w:lang w:val="es-ES"/>
        </w:rPr>
        <w:t>………</w:t>
      </w:r>
      <w:r w:rsidR="003E1B9C" w:rsidRPr="00016FA7">
        <w:rPr>
          <w:rFonts w:ascii="Arial" w:hAnsi="Arial" w:cs="Arial"/>
          <w:b/>
          <w:bCs/>
          <w:lang w:val="es-ES"/>
        </w:rPr>
        <w:t xml:space="preserve">(Ver Procedimiento </w:t>
      </w:r>
      <w:r w:rsidR="001054C0" w:rsidRPr="00016FA7">
        <w:rPr>
          <w:rFonts w:ascii="Arial" w:hAnsi="Arial" w:cs="Arial"/>
          <w:b/>
          <w:bCs/>
          <w:lang w:val="es-ES"/>
        </w:rPr>
        <w:t>Objetividad y Conflictos de Intereses</w:t>
      </w:r>
      <w:r w:rsidR="003E1B9C" w:rsidRPr="00016FA7">
        <w:rPr>
          <w:rFonts w:ascii="Arial" w:hAnsi="Arial" w:cs="Arial"/>
          <w:b/>
          <w:bCs/>
          <w:lang w:val="es-ES"/>
        </w:rPr>
        <w:t>)</w:t>
      </w:r>
      <w:r w:rsidRPr="00016FA7">
        <w:rPr>
          <w:rFonts w:ascii="Arial" w:hAnsi="Arial" w:cs="Arial"/>
          <w:lang w:val="es-ES"/>
        </w:rPr>
        <w:t>, detallando cualquier conflicto real o potencial que pueda afectar su objetividad. Esta declaración debe realizarse al inicio de cada trabajo y actualizarse si surge algún cambio durante su ejecución.</w:t>
      </w:r>
    </w:p>
    <w:p w14:paraId="4E92FBD9" w14:textId="77777777" w:rsidR="004F45AB" w:rsidRPr="00016FA7" w:rsidRDefault="004F45AB" w:rsidP="004F45AB">
      <w:pPr>
        <w:pStyle w:val="ListParagraph"/>
        <w:spacing w:after="0" w:line="259" w:lineRule="auto"/>
        <w:jc w:val="both"/>
        <w:rPr>
          <w:rFonts w:ascii="Arial" w:hAnsi="Arial" w:cs="Arial"/>
          <w:lang w:val="es-ES"/>
        </w:rPr>
      </w:pPr>
    </w:p>
    <w:p w14:paraId="77D495FC" w14:textId="1C974815" w:rsidR="004F45AB" w:rsidRPr="00016FA7" w:rsidRDefault="004F45AB" w:rsidP="00A7029A">
      <w:pPr>
        <w:pStyle w:val="ListParagraph"/>
        <w:numPr>
          <w:ilvl w:val="1"/>
          <w:numId w:val="21"/>
        </w:numPr>
        <w:spacing w:after="0" w:line="259" w:lineRule="auto"/>
        <w:jc w:val="both"/>
        <w:rPr>
          <w:rFonts w:ascii="Arial" w:hAnsi="Arial" w:cs="Arial"/>
          <w:b/>
          <w:bCs/>
          <w:lang w:val="es-ES"/>
        </w:rPr>
      </w:pPr>
      <w:r w:rsidRPr="00016FA7">
        <w:rPr>
          <w:rFonts w:ascii="Arial" w:hAnsi="Arial" w:cs="Arial"/>
          <w:b/>
          <w:bCs/>
          <w:lang w:val="es-ES"/>
        </w:rPr>
        <w:t>Aplicación del Escepticismo Profesional</w:t>
      </w:r>
    </w:p>
    <w:p w14:paraId="69E6BD11" w14:textId="77777777" w:rsidR="004F45AB" w:rsidRPr="00016FA7" w:rsidRDefault="004F45AB" w:rsidP="004F45AB">
      <w:pPr>
        <w:spacing w:after="0" w:line="259" w:lineRule="auto"/>
        <w:jc w:val="both"/>
        <w:rPr>
          <w:rFonts w:ascii="Arial" w:hAnsi="Arial" w:cs="Arial"/>
          <w:lang w:val="es-ES"/>
        </w:rPr>
      </w:pPr>
    </w:p>
    <w:p w14:paraId="318AE2CD" w14:textId="281D9D89" w:rsidR="004F45AB" w:rsidRPr="00016FA7" w:rsidRDefault="004F45AB" w:rsidP="004F45AB">
      <w:pPr>
        <w:spacing w:after="0" w:line="259" w:lineRule="auto"/>
        <w:jc w:val="both"/>
        <w:rPr>
          <w:rFonts w:ascii="Arial" w:hAnsi="Arial" w:cs="Arial"/>
          <w:lang w:val="es-ES"/>
        </w:rPr>
      </w:pPr>
      <w:r w:rsidRPr="00016FA7">
        <w:rPr>
          <w:rFonts w:ascii="Arial" w:hAnsi="Arial" w:cs="Arial"/>
          <w:lang w:val="es-ES"/>
        </w:rPr>
        <w:t xml:space="preserve">Durante la ejecución del trabajo, los auditores deben documentar en el </w:t>
      </w:r>
      <w:r w:rsidRPr="00016FA7">
        <w:rPr>
          <w:rFonts w:ascii="Arial" w:hAnsi="Arial" w:cs="Arial"/>
          <w:b/>
          <w:bCs/>
          <w:i/>
          <w:iCs/>
          <w:lang w:val="es-ES"/>
        </w:rPr>
        <w:t xml:space="preserve">Formulario </w:t>
      </w:r>
      <w:r w:rsidR="00861CA7" w:rsidRPr="00016FA7">
        <w:rPr>
          <w:rFonts w:ascii="Arial" w:hAnsi="Arial" w:cs="Arial"/>
          <w:b/>
          <w:bCs/>
          <w:i/>
          <w:iCs/>
          <w:lang w:val="es-ES"/>
        </w:rPr>
        <w:t>……………</w:t>
      </w:r>
      <w:r w:rsidRPr="00016FA7">
        <w:rPr>
          <w:rFonts w:ascii="Arial" w:hAnsi="Arial" w:cs="Arial"/>
          <w:lang w:val="es-ES"/>
        </w:rPr>
        <w:t xml:space="preserve"> </w:t>
      </w:r>
      <w:r w:rsidR="001054C0" w:rsidRPr="00016FA7">
        <w:rPr>
          <w:rFonts w:ascii="Arial" w:hAnsi="Arial" w:cs="Arial"/>
          <w:b/>
          <w:bCs/>
          <w:lang w:val="es-ES"/>
        </w:rPr>
        <w:t>(Ver Procedimiento Ejecución del Trabajo)</w:t>
      </w:r>
      <w:r w:rsidR="001054C0" w:rsidRPr="00016FA7">
        <w:rPr>
          <w:rFonts w:ascii="Arial" w:hAnsi="Arial" w:cs="Arial"/>
          <w:lang w:val="es-ES"/>
        </w:rPr>
        <w:t xml:space="preserve">, </w:t>
      </w:r>
      <w:r w:rsidRPr="00016FA7">
        <w:rPr>
          <w:rFonts w:ascii="Arial" w:hAnsi="Arial" w:cs="Arial"/>
          <w:lang w:val="es-ES"/>
        </w:rPr>
        <w:t>cualquier inconsistencia, omisión o información no confiable identificada. Este registro servirá para analizar la validez y consistencia de la información recopilada, asegurando que se aplique un enfoque crítico.</w:t>
      </w:r>
    </w:p>
    <w:p w14:paraId="382BAEDC" w14:textId="77777777" w:rsidR="004F45AB" w:rsidRPr="00016FA7" w:rsidRDefault="004F45AB" w:rsidP="004F45AB">
      <w:pPr>
        <w:pStyle w:val="ListParagraph"/>
        <w:spacing w:after="0" w:line="259" w:lineRule="auto"/>
        <w:jc w:val="both"/>
        <w:rPr>
          <w:rFonts w:ascii="Arial" w:hAnsi="Arial" w:cs="Arial"/>
          <w:lang w:val="es-ES"/>
        </w:rPr>
      </w:pPr>
    </w:p>
    <w:p w14:paraId="7EE00655" w14:textId="60805334" w:rsidR="004F45AB" w:rsidRPr="00016FA7" w:rsidRDefault="004F45AB" w:rsidP="00A7029A">
      <w:pPr>
        <w:pStyle w:val="ListParagraph"/>
        <w:numPr>
          <w:ilvl w:val="1"/>
          <w:numId w:val="21"/>
        </w:numPr>
        <w:spacing w:after="0" w:line="259" w:lineRule="auto"/>
        <w:jc w:val="both"/>
        <w:rPr>
          <w:rFonts w:ascii="Arial" w:hAnsi="Arial" w:cs="Arial"/>
          <w:b/>
          <w:bCs/>
          <w:lang w:val="es-ES"/>
        </w:rPr>
      </w:pPr>
      <w:r w:rsidRPr="00016FA7">
        <w:rPr>
          <w:rFonts w:ascii="Arial" w:hAnsi="Arial" w:cs="Arial"/>
          <w:b/>
          <w:bCs/>
          <w:lang w:val="es-ES"/>
        </w:rPr>
        <w:t>Supervisión y Validación</w:t>
      </w:r>
    </w:p>
    <w:p w14:paraId="1907819D" w14:textId="77777777" w:rsidR="004F45AB" w:rsidRPr="00016FA7" w:rsidRDefault="004F45AB" w:rsidP="004F45AB">
      <w:pPr>
        <w:spacing w:after="0" w:line="259" w:lineRule="auto"/>
        <w:jc w:val="both"/>
        <w:rPr>
          <w:rFonts w:ascii="Arial" w:hAnsi="Arial" w:cs="Arial"/>
          <w:lang w:val="es-ES"/>
        </w:rPr>
      </w:pPr>
    </w:p>
    <w:p w14:paraId="735FF7F7" w14:textId="38229486" w:rsidR="004F45AB" w:rsidRPr="00016FA7" w:rsidRDefault="004F45AB" w:rsidP="004F45AB">
      <w:pPr>
        <w:spacing w:after="0" w:line="259" w:lineRule="auto"/>
        <w:jc w:val="both"/>
        <w:rPr>
          <w:rFonts w:ascii="Arial" w:hAnsi="Arial" w:cs="Arial"/>
          <w:lang w:val="es-ES"/>
        </w:rPr>
      </w:pPr>
      <w:r w:rsidRPr="00016FA7">
        <w:rPr>
          <w:rFonts w:ascii="Arial" w:hAnsi="Arial" w:cs="Arial"/>
          <w:lang w:val="es-ES"/>
        </w:rPr>
        <w:t xml:space="preserve">El supervisor debe utilizar el </w:t>
      </w:r>
      <w:r w:rsidRPr="00016FA7">
        <w:rPr>
          <w:rFonts w:ascii="Arial" w:hAnsi="Arial" w:cs="Arial"/>
          <w:b/>
          <w:bCs/>
          <w:i/>
          <w:iCs/>
          <w:lang w:val="es-ES"/>
        </w:rPr>
        <w:t xml:space="preserve">Formulario </w:t>
      </w:r>
      <w:r w:rsidR="00861CA7" w:rsidRPr="00016FA7">
        <w:rPr>
          <w:rFonts w:ascii="Arial" w:hAnsi="Arial" w:cs="Arial"/>
          <w:b/>
          <w:bCs/>
          <w:i/>
          <w:iCs/>
          <w:lang w:val="es-ES"/>
        </w:rPr>
        <w:t>…………………</w:t>
      </w:r>
      <w:r w:rsidRPr="00016FA7">
        <w:rPr>
          <w:rFonts w:ascii="Arial" w:hAnsi="Arial" w:cs="Arial"/>
          <w:lang w:val="es-ES"/>
        </w:rPr>
        <w:t xml:space="preserve"> </w:t>
      </w:r>
      <w:r w:rsidR="001054C0" w:rsidRPr="00016FA7">
        <w:rPr>
          <w:rFonts w:ascii="Arial" w:hAnsi="Arial" w:cs="Arial"/>
          <w:b/>
          <w:bCs/>
          <w:lang w:val="es-ES"/>
        </w:rPr>
        <w:t>(Ver Procedimiento Supervisión del Trabajo)</w:t>
      </w:r>
      <w:r w:rsidR="001054C0" w:rsidRPr="00016FA7">
        <w:rPr>
          <w:rFonts w:ascii="Arial" w:hAnsi="Arial" w:cs="Arial"/>
          <w:lang w:val="es-ES"/>
        </w:rPr>
        <w:t xml:space="preserve">, </w:t>
      </w:r>
      <w:r w:rsidRPr="00016FA7">
        <w:rPr>
          <w:rFonts w:ascii="Arial" w:hAnsi="Arial" w:cs="Arial"/>
          <w:lang w:val="es-ES"/>
        </w:rPr>
        <w:t>para registrar revisiones periódicas de los papeles de trabajo y los hallazgos preliminares. Este formulario asegura que las observaciones estén fundamentadas y que se mantengan los estándares de calidad en todas las etapas del trabajo.</w:t>
      </w:r>
    </w:p>
    <w:p w14:paraId="43B8C022" w14:textId="77777777" w:rsidR="004F45AB" w:rsidRPr="00016FA7" w:rsidRDefault="004F45AB" w:rsidP="004F45AB">
      <w:pPr>
        <w:pStyle w:val="ListParagraph"/>
        <w:spacing w:after="0" w:line="259" w:lineRule="auto"/>
        <w:jc w:val="both"/>
        <w:rPr>
          <w:rFonts w:ascii="Arial" w:hAnsi="Arial" w:cs="Arial"/>
          <w:lang w:val="es-ES"/>
        </w:rPr>
      </w:pPr>
    </w:p>
    <w:p w14:paraId="21AFA681" w14:textId="70357DF3" w:rsidR="004F45AB" w:rsidRPr="00016FA7" w:rsidRDefault="004F45AB" w:rsidP="00A7029A">
      <w:pPr>
        <w:pStyle w:val="ListParagraph"/>
        <w:numPr>
          <w:ilvl w:val="1"/>
          <w:numId w:val="21"/>
        </w:numPr>
        <w:spacing w:after="0" w:line="259" w:lineRule="auto"/>
        <w:jc w:val="both"/>
        <w:rPr>
          <w:rFonts w:ascii="Arial" w:hAnsi="Arial" w:cs="Arial"/>
          <w:b/>
          <w:bCs/>
          <w:lang w:val="es-ES"/>
        </w:rPr>
      </w:pPr>
      <w:r w:rsidRPr="00016FA7">
        <w:rPr>
          <w:rFonts w:ascii="Arial" w:hAnsi="Arial" w:cs="Arial"/>
          <w:b/>
          <w:bCs/>
          <w:lang w:val="es-ES"/>
        </w:rPr>
        <w:t>Revisión Final</w:t>
      </w:r>
    </w:p>
    <w:p w14:paraId="421AEDD1" w14:textId="77777777" w:rsidR="004F45AB" w:rsidRPr="00016FA7" w:rsidRDefault="004F45AB" w:rsidP="004F45AB">
      <w:pPr>
        <w:spacing w:after="0" w:line="259" w:lineRule="auto"/>
        <w:jc w:val="both"/>
        <w:rPr>
          <w:rFonts w:ascii="Arial" w:hAnsi="Arial" w:cs="Arial"/>
          <w:lang w:val="es-ES"/>
        </w:rPr>
      </w:pPr>
    </w:p>
    <w:p w14:paraId="6A9367A5" w14:textId="64A28935" w:rsidR="004F45AB" w:rsidRPr="00016FA7" w:rsidRDefault="004F45AB" w:rsidP="004F45AB">
      <w:pPr>
        <w:spacing w:after="0" w:line="259" w:lineRule="auto"/>
        <w:jc w:val="both"/>
        <w:rPr>
          <w:rFonts w:ascii="Arial" w:hAnsi="Arial" w:cs="Arial"/>
          <w:lang w:val="es-ES"/>
        </w:rPr>
      </w:pPr>
      <w:r w:rsidRPr="00016FA7">
        <w:rPr>
          <w:rFonts w:ascii="Arial" w:hAnsi="Arial" w:cs="Arial"/>
          <w:lang w:val="es-ES"/>
        </w:rPr>
        <w:t xml:space="preserve">El Jefe de Auditoría Interna </w:t>
      </w:r>
      <w:r w:rsidR="00E33E2E" w:rsidRPr="00016FA7">
        <w:rPr>
          <w:rFonts w:ascii="Arial" w:hAnsi="Arial" w:cs="Arial"/>
          <w:lang w:val="es-ES"/>
        </w:rPr>
        <w:t xml:space="preserve">y/o el supervisor </w:t>
      </w:r>
      <w:r w:rsidRPr="00016FA7">
        <w:rPr>
          <w:rFonts w:ascii="Arial" w:hAnsi="Arial" w:cs="Arial"/>
          <w:lang w:val="es-ES"/>
        </w:rPr>
        <w:t xml:space="preserve">debe revisar el informe final y registrar sus observaciones en el </w:t>
      </w:r>
      <w:r w:rsidRPr="00016FA7">
        <w:rPr>
          <w:rFonts w:ascii="Arial" w:hAnsi="Arial" w:cs="Arial"/>
          <w:b/>
          <w:bCs/>
          <w:i/>
          <w:iCs/>
          <w:lang w:val="es-ES"/>
        </w:rPr>
        <w:t xml:space="preserve">Formulario </w:t>
      </w:r>
      <w:r w:rsidR="00861CA7" w:rsidRPr="00016FA7">
        <w:rPr>
          <w:rFonts w:ascii="Arial" w:hAnsi="Arial" w:cs="Arial"/>
          <w:b/>
          <w:bCs/>
          <w:i/>
          <w:iCs/>
          <w:lang w:val="es-ES"/>
        </w:rPr>
        <w:t>……………….</w:t>
      </w:r>
      <w:r w:rsidR="001054C0" w:rsidRPr="00016FA7">
        <w:rPr>
          <w:rFonts w:ascii="Arial" w:hAnsi="Arial" w:cs="Arial"/>
          <w:b/>
          <w:bCs/>
          <w:lang w:val="es-ES"/>
        </w:rPr>
        <w:t xml:space="preserve"> (Ver Procedimiento</w:t>
      </w:r>
      <w:r w:rsidR="004C5258" w:rsidRPr="00016FA7">
        <w:t xml:space="preserve"> </w:t>
      </w:r>
      <w:r w:rsidR="004C5258" w:rsidRPr="00016FA7">
        <w:rPr>
          <w:rFonts w:ascii="Arial" w:hAnsi="Arial" w:cs="Arial"/>
          <w:b/>
          <w:bCs/>
          <w:lang w:val="es-ES"/>
        </w:rPr>
        <w:t>Supervisión del Trabajo -</w:t>
      </w:r>
      <w:r w:rsidR="001054C0" w:rsidRPr="00016FA7">
        <w:rPr>
          <w:rFonts w:ascii="Arial" w:hAnsi="Arial" w:cs="Arial"/>
          <w:b/>
          <w:bCs/>
          <w:lang w:val="es-ES"/>
        </w:rPr>
        <w:t xml:space="preserve"> Informe del Trabajo),</w:t>
      </w:r>
      <w:r w:rsidRPr="00016FA7">
        <w:rPr>
          <w:rFonts w:ascii="Arial" w:hAnsi="Arial" w:cs="Arial"/>
          <w:lang w:val="es-ES"/>
        </w:rPr>
        <w:t xml:space="preserve"> garantizando que las conclusiones y recomendaciones se basen en evidencia sólida y cumplan con las Normas Globales de Auditoría Interna.</w:t>
      </w:r>
    </w:p>
    <w:p w14:paraId="33FC1B67" w14:textId="77777777" w:rsidR="004F45AB" w:rsidRPr="00016FA7" w:rsidRDefault="004F45AB" w:rsidP="004F45AB">
      <w:pPr>
        <w:pStyle w:val="ListParagraph"/>
        <w:spacing w:after="0" w:line="259" w:lineRule="auto"/>
        <w:jc w:val="both"/>
        <w:rPr>
          <w:rFonts w:ascii="Arial" w:hAnsi="Arial" w:cs="Arial"/>
          <w:lang w:val="es-ES"/>
        </w:rPr>
      </w:pPr>
    </w:p>
    <w:p w14:paraId="69B41EEC" w14:textId="18E4AC75" w:rsidR="004F45AB" w:rsidRPr="00016FA7" w:rsidRDefault="004F45AB" w:rsidP="00A7029A">
      <w:pPr>
        <w:pStyle w:val="ListParagraph"/>
        <w:numPr>
          <w:ilvl w:val="1"/>
          <w:numId w:val="21"/>
        </w:numPr>
        <w:spacing w:after="0" w:line="259" w:lineRule="auto"/>
        <w:jc w:val="both"/>
        <w:rPr>
          <w:rFonts w:ascii="Arial" w:hAnsi="Arial" w:cs="Arial"/>
          <w:b/>
          <w:bCs/>
          <w:lang w:val="es-ES"/>
        </w:rPr>
      </w:pPr>
      <w:r w:rsidRPr="00016FA7">
        <w:rPr>
          <w:rFonts w:ascii="Arial" w:hAnsi="Arial" w:cs="Arial"/>
          <w:b/>
          <w:bCs/>
          <w:lang w:val="es-ES"/>
        </w:rPr>
        <w:t>Seguimiento y Mejora Continua</w:t>
      </w:r>
    </w:p>
    <w:p w14:paraId="1F982ECA" w14:textId="77777777" w:rsidR="004F45AB" w:rsidRPr="00016FA7" w:rsidRDefault="004F45AB" w:rsidP="004F45AB">
      <w:pPr>
        <w:pStyle w:val="ListParagraph"/>
        <w:spacing w:after="0" w:line="259" w:lineRule="auto"/>
        <w:ind w:left="0"/>
        <w:jc w:val="both"/>
        <w:rPr>
          <w:rFonts w:ascii="Arial" w:hAnsi="Arial" w:cs="Arial"/>
          <w:lang w:val="es-ES"/>
        </w:rPr>
      </w:pPr>
    </w:p>
    <w:p w14:paraId="44EDBA41" w14:textId="50218B4A" w:rsidR="00E75A1F" w:rsidRPr="00016FA7" w:rsidRDefault="004F45AB" w:rsidP="004F45AB">
      <w:pPr>
        <w:pStyle w:val="ListParagraph"/>
        <w:spacing w:after="0" w:line="259" w:lineRule="auto"/>
        <w:ind w:left="0"/>
        <w:jc w:val="both"/>
        <w:rPr>
          <w:rFonts w:ascii="Arial" w:hAnsi="Arial" w:cs="Arial"/>
          <w:lang w:val="es-ES"/>
        </w:rPr>
      </w:pPr>
      <w:r w:rsidRPr="00016FA7">
        <w:rPr>
          <w:rFonts w:ascii="Arial" w:hAnsi="Arial" w:cs="Arial"/>
          <w:lang w:val="es-ES"/>
        </w:rPr>
        <w:t xml:space="preserve">Después de finalizar el trabajo, se debe completar el </w:t>
      </w:r>
      <w:r w:rsidRPr="00016FA7">
        <w:rPr>
          <w:rFonts w:ascii="Arial" w:hAnsi="Arial" w:cs="Arial"/>
          <w:b/>
          <w:bCs/>
          <w:i/>
          <w:iCs/>
          <w:lang w:val="es-ES"/>
        </w:rPr>
        <w:t xml:space="preserve">Formulario </w:t>
      </w:r>
      <w:r w:rsidR="00861CA7" w:rsidRPr="00016FA7">
        <w:rPr>
          <w:rFonts w:ascii="Arial" w:hAnsi="Arial" w:cs="Arial"/>
          <w:b/>
          <w:bCs/>
          <w:i/>
          <w:iCs/>
          <w:lang w:val="es-ES"/>
        </w:rPr>
        <w:t>…………….</w:t>
      </w:r>
      <w:r w:rsidRPr="00016FA7">
        <w:rPr>
          <w:rFonts w:ascii="Arial" w:hAnsi="Arial" w:cs="Arial"/>
          <w:b/>
          <w:bCs/>
          <w:i/>
          <w:iCs/>
          <w:lang w:val="es-ES"/>
        </w:rPr>
        <w:t xml:space="preserve"> </w:t>
      </w:r>
      <w:r w:rsidR="001054C0" w:rsidRPr="00016FA7">
        <w:rPr>
          <w:rFonts w:ascii="Arial" w:hAnsi="Arial" w:cs="Arial"/>
          <w:b/>
          <w:bCs/>
          <w:lang w:val="es-ES"/>
        </w:rPr>
        <w:t>(Ver Procedimiento PAMC</w:t>
      </w:r>
      <w:r w:rsidR="004C5258" w:rsidRPr="00016FA7">
        <w:rPr>
          <w:rFonts w:ascii="Arial" w:hAnsi="Arial" w:cs="Arial"/>
          <w:b/>
          <w:bCs/>
          <w:lang w:val="es-ES"/>
        </w:rPr>
        <w:t xml:space="preserve"> - Encuestas</w:t>
      </w:r>
      <w:r w:rsidR="001054C0" w:rsidRPr="00016FA7">
        <w:rPr>
          <w:rFonts w:ascii="Arial" w:hAnsi="Arial" w:cs="Arial"/>
          <w:b/>
          <w:bCs/>
          <w:lang w:val="es-ES"/>
        </w:rPr>
        <w:t>),</w:t>
      </w:r>
      <w:r w:rsidRPr="00016FA7">
        <w:rPr>
          <w:rFonts w:ascii="Arial" w:hAnsi="Arial" w:cs="Arial"/>
          <w:lang w:val="es-ES"/>
        </w:rPr>
        <w:t xml:space="preserve"> donde se analizarán las acciones correctivas implementadas, su efectividad y las oportunidades de mejora para futuros procesos de auditoría.</w:t>
      </w:r>
    </w:p>
    <w:p w14:paraId="3982F3A8" w14:textId="77777777" w:rsidR="00EC77B6" w:rsidRPr="00016FA7" w:rsidRDefault="00EC77B6" w:rsidP="004F45AB">
      <w:pPr>
        <w:pStyle w:val="ListParagraph"/>
        <w:spacing w:after="0" w:line="259" w:lineRule="auto"/>
        <w:ind w:left="0"/>
        <w:jc w:val="both"/>
        <w:rPr>
          <w:rFonts w:ascii="Arial" w:hAnsi="Arial" w:cs="Arial"/>
          <w:lang w:val="es-ES"/>
        </w:rPr>
      </w:pPr>
    </w:p>
    <w:p w14:paraId="5554B02A" w14:textId="77777777" w:rsidR="00F80843" w:rsidRPr="00016FA7" w:rsidRDefault="00F80843" w:rsidP="004F45AB">
      <w:pPr>
        <w:pStyle w:val="ListParagraph"/>
        <w:spacing w:after="0" w:line="259" w:lineRule="auto"/>
        <w:ind w:left="0"/>
        <w:jc w:val="both"/>
        <w:rPr>
          <w:rFonts w:ascii="Arial" w:hAnsi="Arial" w:cs="Arial"/>
          <w:lang w:val="es-ES"/>
        </w:rPr>
      </w:pPr>
    </w:p>
    <w:p w14:paraId="0D1DA246" w14:textId="5574587F" w:rsidR="00F80843" w:rsidRPr="00016FA7" w:rsidRDefault="00F80843" w:rsidP="00A7029A">
      <w:pPr>
        <w:pStyle w:val="ListParagraph"/>
        <w:numPr>
          <w:ilvl w:val="1"/>
          <w:numId w:val="21"/>
        </w:numPr>
        <w:jc w:val="both"/>
        <w:rPr>
          <w:rFonts w:ascii="Arial" w:hAnsi="Arial" w:cs="Arial"/>
          <w:b/>
        </w:rPr>
      </w:pPr>
      <w:r w:rsidRPr="00016FA7">
        <w:rPr>
          <w:rFonts w:ascii="Arial" w:eastAsia="Times New Roman" w:hAnsi="Arial" w:cs="Arial"/>
          <w:b/>
          <w:lang w:eastAsia="es-CL"/>
        </w:rPr>
        <w:lastRenderedPageBreak/>
        <w:t>Aprobación y Actualización</w:t>
      </w:r>
    </w:p>
    <w:p w14:paraId="66B45AAF" w14:textId="77777777" w:rsidR="00681986" w:rsidRPr="006B424A" w:rsidRDefault="00681986" w:rsidP="006B424A">
      <w:pPr>
        <w:spacing w:after="0" w:line="240" w:lineRule="auto"/>
        <w:jc w:val="both"/>
        <w:rPr>
          <w:rFonts w:ascii="Arial" w:hAnsi="Arial" w:cs="Arial"/>
          <w:b/>
          <w:lang w:val="es-ES"/>
        </w:rPr>
      </w:pPr>
      <w:r w:rsidRPr="006B424A">
        <w:rPr>
          <w:rFonts w:ascii="Arial" w:eastAsia="Times New Roman" w:hAnsi="Arial" w:cs="Arial"/>
          <w:lang w:eastAsia="es-CL"/>
        </w:rPr>
        <w:t xml:space="preserve">Este procedimiento será aprobado por el Jefe de Auditoría y por el Jefe de Servicio (cuando así se ha definido en el Servicio) y será revisado de manera periódica, al menos una vez al año, o cuando se produzcan cambios significativos en la organización o en las políticas y/o normativas aplicables. </w:t>
      </w:r>
    </w:p>
    <w:p w14:paraId="3007E423" w14:textId="77777777" w:rsidR="00681986" w:rsidRPr="006B424A" w:rsidRDefault="00681986" w:rsidP="006B424A">
      <w:pPr>
        <w:spacing w:after="0" w:line="240" w:lineRule="auto"/>
        <w:jc w:val="both"/>
        <w:rPr>
          <w:rFonts w:ascii="Arial" w:hAnsi="Arial" w:cs="Arial"/>
          <w:bCs/>
        </w:rPr>
      </w:pPr>
    </w:p>
    <w:p w14:paraId="39C7D028" w14:textId="77777777" w:rsidR="00681986" w:rsidRPr="00016FA7" w:rsidRDefault="00681986" w:rsidP="006B424A">
      <w:pPr>
        <w:spacing w:after="0" w:line="240" w:lineRule="auto"/>
        <w:jc w:val="both"/>
        <w:rPr>
          <w:rFonts w:ascii="Arial" w:hAnsi="Arial" w:cs="Arial"/>
          <w:bCs/>
          <w:lang w:val="es-ES"/>
        </w:rPr>
      </w:pPr>
      <w:r w:rsidRPr="006B424A">
        <w:rPr>
          <w:rFonts w:ascii="Arial" w:eastAsia="Times New Roman" w:hAnsi="Arial" w:cs="Arial"/>
          <w:lang w:eastAsia="es-CL"/>
        </w:rPr>
        <w:t xml:space="preserve">El Jefe de Auditoría será responsable de su revisión y actualización, asegurando su continua alineación con las Normas Globales de Auditoría Interna y los lineamientos sobre la materia definidos por el </w:t>
      </w:r>
      <w:bookmarkStart w:id="0" w:name="_Hlk191880986"/>
      <w:r w:rsidRPr="006B424A">
        <w:rPr>
          <w:rFonts w:ascii="Arial" w:eastAsia="Times New Roman" w:hAnsi="Arial" w:cs="Arial"/>
          <w:lang w:eastAsia="es-CL"/>
        </w:rPr>
        <w:t xml:space="preserve">Consejo de Auditoría Interna General de Gobierno (CAIGG) o por el </w:t>
      </w:r>
      <w:r w:rsidRPr="006B424A">
        <w:rPr>
          <w:rFonts w:ascii="Arial" w:eastAsia="Calibri" w:hAnsi="Arial" w:cs="Arial"/>
          <w:lang w:val="es-ES"/>
        </w:rPr>
        <w:t>Servicio de Auditoría Interna de Gobierno (SAIG).</w:t>
      </w:r>
    </w:p>
    <w:bookmarkEnd w:id="0"/>
    <w:p w14:paraId="37825DB9" w14:textId="77777777" w:rsidR="004F45AB" w:rsidRDefault="004F45AB" w:rsidP="00E75A1F">
      <w:pPr>
        <w:pStyle w:val="ListParagraph"/>
        <w:spacing w:after="0" w:line="259" w:lineRule="auto"/>
        <w:jc w:val="both"/>
        <w:rPr>
          <w:rFonts w:ascii="Arial" w:hAnsi="Arial" w:cs="Arial"/>
          <w:color w:val="000000" w:themeColor="text1"/>
          <w:lang w:val="es-ES"/>
        </w:rPr>
      </w:pPr>
    </w:p>
    <w:p w14:paraId="54E17213" w14:textId="77777777" w:rsidR="00265DAD" w:rsidRDefault="00C83D97" w:rsidP="00265DAD">
      <w:pPr>
        <w:spacing w:line="240" w:lineRule="auto"/>
        <w:jc w:val="both"/>
        <w:rPr>
          <w:rFonts w:ascii="Arial" w:hAnsi="Arial" w:cs="Arial"/>
          <w:b/>
          <w:bCs/>
          <w:lang w:val="es-ES"/>
        </w:rPr>
      </w:pPr>
      <w:r w:rsidRPr="007F1C1B">
        <w:rPr>
          <w:rFonts w:ascii="Arial" w:hAnsi="Arial" w:cs="Arial"/>
          <w:b/>
          <w:bCs/>
          <w:lang w:val="es-ES"/>
        </w:rPr>
        <w:t xml:space="preserve">6. INDICADORES </w:t>
      </w:r>
      <w:r>
        <w:rPr>
          <w:rFonts w:ascii="Arial" w:hAnsi="Arial" w:cs="Arial"/>
          <w:b/>
          <w:bCs/>
          <w:lang w:val="es-ES"/>
        </w:rPr>
        <w:t xml:space="preserve">CLAVE </w:t>
      </w:r>
      <w:r w:rsidRPr="007F1C1B">
        <w:rPr>
          <w:rFonts w:ascii="Arial" w:hAnsi="Arial" w:cs="Arial"/>
          <w:b/>
          <w:bCs/>
          <w:lang w:val="es-ES"/>
        </w:rPr>
        <w:t>DE DESEMPEÑO</w:t>
      </w:r>
      <w:r w:rsidR="00265DAD">
        <w:rPr>
          <w:rFonts w:ascii="Arial" w:hAnsi="Arial" w:cs="Arial"/>
          <w:b/>
          <w:bCs/>
          <w:lang w:val="es-ES"/>
        </w:rPr>
        <w:t xml:space="preserve"> (MEDIDAS DE DESEMPEÑO)</w:t>
      </w:r>
    </w:p>
    <w:p w14:paraId="0C680427" w14:textId="77777777" w:rsidR="008E5C9C" w:rsidRPr="008E5C9C" w:rsidRDefault="008E5C9C" w:rsidP="008E5C9C">
      <w:pPr>
        <w:spacing w:after="120"/>
        <w:jc w:val="both"/>
        <w:rPr>
          <w:rFonts w:ascii="Arial" w:hAnsi="Arial" w:cs="Arial"/>
          <w:lang w:val="es-ES"/>
        </w:rPr>
      </w:pPr>
      <w:r w:rsidRPr="008E5C9C">
        <w:rPr>
          <w:rFonts w:ascii="Arial" w:hAnsi="Arial" w:cs="Arial"/>
          <w:lang w:val="es-ES"/>
        </w:rPr>
        <w:t xml:space="preserve">Para medir el progreso y el cumplimiento de los objetivos de desempeño, en alineación con las Normas Globales de Auditoría Interna, especialmente la Norma 12.2: Medición del Desempeño, y las mejores prácticas, se deben utilizar indicadores clave de desempeño, previamente aprobados por el Jefe de Servicio. </w:t>
      </w:r>
    </w:p>
    <w:p w14:paraId="0D73FFDF" w14:textId="77777777" w:rsidR="008E5C9C" w:rsidRPr="008E5C9C" w:rsidRDefault="008E5C9C" w:rsidP="008E5C9C">
      <w:pPr>
        <w:spacing w:after="120"/>
        <w:jc w:val="both"/>
        <w:rPr>
          <w:rFonts w:ascii="Arial" w:hAnsi="Arial" w:cs="Arial"/>
          <w:lang w:val="es-ES"/>
        </w:rPr>
      </w:pPr>
      <w:r w:rsidRPr="008E5C9C">
        <w:rPr>
          <w:rFonts w:ascii="Arial" w:hAnsi="Arial" w:cs="Arial"/>
          <w:lang w:val="es-ES"/>
        </w:rPr>
        <w:t xml:space="preserve">En su desarrollo, estos indicadores deben considerar los aportes y expectativas del Jefe de Servicio, con el propósito de evaluar, monitorear e informar sobre el avance y cumplimiento de la materia regulada en este procedimiento. </w:t>
      </w:r>
    </w:p>
    <w:p w14:paraId="362BCE3A" w14:textId="77777777" w:rsidR="008E5C9C" w:rsidRPr="008E5C9C" w:rsidRDefault="008E5C9C" w:rsidP="008E5C9C">
      <w:pPr>
        <w:spacing w:after="120"/>
        <w:jc w:val="both"/>
        <w:rPr>
          <w:rFonts w:ascii="Arial" w:hAnsi="Arial" w:cs="Arial"/>
          <w:lang w:val="es-ES"/>
        </w:rPr>
      </w:pPr>
      <w:r w:rsidRPr="008E5C9C">
        <w:rPr>
          <w:rFonts w:ascii="Arial" w:hAnsi="Arial" w:cs="Arial"/>
          <w:lang w:val="es-ES"/>
        </w:rPr>
        <w:t xml:space="preserve">El período durante el cual se recopilarán y analizarán los datos de los indicadores clave de desempeño será de xx (mensual, trimestral, semestral o anual, según las metas de la función de auditoría interna y los ciclos de evaluación establecidos en la planificación estratégica). Los resultados deberán ser informados al Jefe de Servicio dentro de un plazo de xx (mensual, trimestral, semestral o anual). </w:t>
      </w:r>
    </w:p>
    <w:p w14:paraId="53098481" w14:textId="0CE666CF" w:rsidR="00526535" w:rsidRPr="00016FA7" w:rsidRDefault="008E5C9C" w:rsidP="00FE4C0E">
      <w:pPr>
        <w:spacing w:after="120"/>
        <w:jc w:val="both"/>
        <w:rPr>
          <w:rFonts w:ascii="Arial" w:hAnsi="Arial" w:cs="Arial"/>
          <w:b/>
          <w:bCs/>
          <w:lang w:val="es-ES"/>
        </w:rPr>
      </w:pPr>
      <w:r w:rsidRPr="008E5C9C">
        <w:rPr>
          <w:rFonts w:ascii="Arial" w:hAnsi="Arial" w:cs="Arial"/>
          <w:lang w:val="es-ES"/>
        </w:rPr>
        <w:t xml:space="preserve">Para el registro y reporte de los indicadores clave de desempeño se debe utilizar el </w:t>
      </w:r>
      <w:r w:rsidR="006B424A" w:rsidRPr="006B424A">
        <w:rPr>
          <w:rFonts w:ascii="Arial" w:hAnsi="Arial" w:cs="Arial"/>
          <w:b/>
          <w:bCs/>
          <w:lang w:val="es-ES"/>
        </w:rPr>
        <w:t>Formulario Cumplimiento Indicadores Desempeño</w:t>
      </w:r>
      <w:r w:rsidRPr="00016FA7">
        <w:rPr>
          <w:rFonts w:ascii="Arial" w:hAnsi="Arial" w:cs="Arial"/>
          <w:b/>
          <w:bCs/>
          <w:lang w:val="es-ES"/>
        </w:rPr>
        <w:t>.</w:t>
      </w:r>
    </w:p>
    <w:p w14:paraId="7CC764D6" w14:textId="77777777" w:rsidR="005225EA" w:rsidRPr="00016FA7" w:rsidRDefault="007E1F1F" w:rsidP="005225EA">
      <w:pPr>
        <w:spacing w:before="100" w:beforeAutospacing="1" w:after="100" w:afterAutospacing="1" w:line="240" w:lineRule="auto"/>
        <w:jc w:val="both"/>
        <w:rPr>
          <w:rFonts w:ascii="Arial" w:eastAsia="Times New Roman" w:hAnsi="Arial" w:cs="Arial"/>
          <w:lang w:eastAsia="es-CL"/>
        </w:rPr>
      </w:pPr>
      <w:r w:rsidRPr="00016FA7">
        <w:rPr>
          <w:rFonts w:ascii="Arial" w:eastAsia="Times New Roman" w:hAnsi="Arial" w:cs="Arial"/>
          <w:lang w:eastAsia="es-CL"/>
        </w:rPr>
        <w:t>Los indicadores clave de desempeño a considerar son los siguientes (la lista no es taxativa):</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10"/>
        <w:gridCol w:w="1481"/>
        <w:gridCol w:w="1827"/>
        <w:gridCol w:w="1603"/>
        <w:gridCol w:w="1668"/>
        <w:gridCol w:w="1152"/>
        <w:gridCol w:w="1034"/>
      </w:tblGrid>
      <w:tr w:rsidR="00CA7286" w:rsidRPr="00CA7286" w14:paraId="743342DB" w14:textId="77777777" w:rsidTr="00073D9C">
        <w:trPr>
          <w:tblHeader/>
          <w:tblCellSpacing w:w="15" w:type="dxa"/>
        </w:trPr>
        <w:tc>
          <w:tcPr>
            <w:tcW w:w="0" w:type="auto"/>
            <w:shd w:val="clear" w:color="auto" w:fill="0070C0"/>
            <w:vAlign w:val="center"/>
            <w:hideMark/>
          </w:tcPr>
          <w:p w14:paraId="0B2379CA" w14:textId="77777777" w:rsidR="00CA7286" w:rsidRPr="00CA7286" w:rsidRDefault="00CA7286" w:rsidP="00CA7286">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CA7286">
              <w:rPr>
                <w:rFonts w:ascii="Arial" w:eastAsia="Times New Roman" w:hAnsi="Arial" w:cs="Arial"/>
                <w:color w:val="FFFFFF" w:themeColor="background1"/>
                <w:sz w:val="18"/>
                <w:szCs w:val="18"/>
                <w:lang w:eastAsia="es-CL"/>
              </w:rPr>
              <w:t>Áreas Claves de Resultados</w:t>
            </w:r>
          </w:p>
        </w:tc>
        <w:tc>
          <w:tcPr>
            <w:tcW w:w="0" w:type="auto"/>
            <w:shd w:val="clear" w:color="auto" w:fill="0070C0"/>
            <w:vAlign w:val="center"/>
            <w:hideMark/>
          </w:tcPr>
          <w:p w14:paraId="6B03E889" w14:textId="77777777" w:rsidR="00CA7286" w:rsidRPr="00CA7286" w:rsidRDefault="00CA7286" w:rsidP="00CA7286">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CA7286">
              <w:rPr>
                <w:rFonts w:ascii="Arial" w:eastAsia="Times New Roman" w:hAnsi="Arial" w:cs="Arial"/>
                <w:color w:val="FFFFFF" w:themeColor="background1"/>
                <w:sz w:val="18"/>
                <w:szCs w:val="18"/>
                <w:lang w:eastAsia="es-CL"/>
              </w:rPr>
              <w:t>Categorías de Desempeño</w:t>
            </w:r>
          </w:p>
        </w:tc>
        <w:tc>
          <w:tcPr>
            <w:tcW w:w="0" w:type="auto"/>
            <w:shd w:val="clear" w:color="auto" w:fill="0070C0"/>
            <w:vAlign w:val="center"/>
            <w:hideMark/>
          </w:tcPr>
          <w:p w14:paraId="0FFCCBC7" w14:textId="77777777" w:rsidR="00CA7286" w:rsidRPr="00CA7286" w:rsidRDefault="00CA7286" w:rsidP="00CA7286">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CA7286">
              <w:rPr>
                <w:rFonts w:ascii="Arial" w:eastAsia="Times New Roman" w:hAnsi="Arial" w:cs="Arial"/>
                <w:color w:val="FFFFFF" w:themeColor="background1"/>
                <w:sz w:val="18"/>
                <w:szCs w:val="18"/>
                <w:lang w:eastAsia="es-CL"/>
              </w:rPr>
              <w:t>Objetivos de Desempeño</w:t>
            </w:r>
          </w:p>
        </w:tc>
        <w:tc>
          <w:tcPr>
            <w:tcW w:w="0" w:type="auto"/>
            <w:shd w:val="clear" w:color="auto" w:fill="0070C0"/>
            <w:vAlign w:val="center"/>
            <w:hideMark/>
          </w:tcPr>
          <w:p w14:paraId="70225C72" w14:textId="77777777" w:rsidR="00CA7286" w:rsidRPr="00CA7286" w:rsidRDefault="00CA7286" w:rsidP="00CA7286">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CA7286">
              <w:rPr>
                <w:rFonts w:ascii="Arial" w:eastAsia="Times New Roman" w:hAnsi="Arial" w:cs="Arial"/>
                <w:color w:val="FFFFFF" w:themeColor="background1"/>
                <w:sz w:val="18"/>
                <w:szCs w:val="18"/>
                <w:lang w:eastAsia="es-CL"/>
              </w:rPr>
              <w:t>Medidas de Desempeño</w:t>
            </w:r>
          </w:p>
        </w:tc>
        <w:tc>
          <w:tcPr>
            <w:tcW w:w="0" w:type="auto"/>
            <w:shd w:val="clear" w:color="auto" w:fill="0070C0"/>
            <w:vAlign w:val="center"/>
            <w:hideMark/>
          </w:tcPr>
          <w:p w14:paraId="7141625E" w14:textId="77777777" w:rsidR="00CA7286" w:rsidRPr="00CA7286" w:rsidRDefault="00CA7286" w:rsidP="00CA7286">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CA7286">
              <w:rPr>
                <w:rFonts w:ascii="Arial" w:eastAsia="Times New Roman" w:hAnsi="Arial" w:cs="Arial"/>
                <w:color w:val="FFFFFF" w:themeColor="background1"/>
                <w:sz w:val="18"/>
                <w:szCs w:val="18"/>
                <w:lang w:eastAsia="es-CL"/>
              </w:rPr>
              <w:t>Fórmula de Medición</w:t>
            </w:r>
          </w:p>
        </w:tc>
        <w:tc>
          <w:tcPr>
            <w:tcW w:w="0" w:type="auto"/>
            <w:shd w:val="clear" w:color="auto" w:fill="0070C0"/>
            <w:vAlign w:val="center"/>
            <w:hideMark/>
          </w:tcPr>
          <w:p w14:paraId="7467B225" w14:textId="77777777" w:rsidR="00CA7286" w:rsidRPr="00CA7286" w:rsidRDefault="00CA7286" w:rsidP="00CA7286">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CA7286">
              <w:rPr>
                <w:rFonts w:ascii="Arial" w:eastAsia="Times New Roman" w:hAnsi="Arial" w:cs="Arial"/>
                <w:color w:val="FFFFFF" w:themeColor="background1"/>
                <w:sz w:val="18"/>
                <w:szCs w:val="18"/>
                <w:lang w:eastAsia="es-CL"/>
              </w:rPr>
              <w:t>Metas de Desempeño</w:t>
            </w:r>
          </w:p>
        </w:tc>
        <w:tc>
          <w:tcPr>
            <w:tcW w:w="0" w:type="auto"/>
            <w:shd w:val="clear" w:color="auto" w:fill="0070C0"/>
            <w:vAlign w:val="center"/>
            <w:hideMark/>
          </w:tcPr>
          <w:p w14:paraId="492A3B57" w14:textId="77777777" w:rsidR="00CA7286" w:rsidRPr="00CA7286" w:rsidRDefault="00CA7286" w:rsidP="00CA7286">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CA7286">
              <w:rPr>
                <w:rFonts w:ascii="Arial" w:eastAsia="Times New Roman" w:hAnsi="Arial" w:cs="Arial"/>
                <w:color w:val="FFFFFF" w:themeColor="background1"/>
                <w:sz w:val="18"/>
                <w:szCs w:val="18"/>
                <w:lang w:eastAsia="es-CL"/>
              </w:rPr>
              <w:t>Frecuencia de Medición</w:t>
            </w:r>
          </w:p>
        </w:tc>
      </w:tr>
      <w:tr w:rsidR="00CA7286" w:rsidRPr="00CA7286" w14:paraId="3A98DB76" w14:textId="77777777" w:rsidTr="00073D9C">
        <w:trPr>
          <w:tblCellSpacing w:w="15" w:type="dxa"/>
        </w:trPr>
        <w:tc>
          <w:tcPr>
            <w:tcW w:w="0" w:type="auto"/>
            <w:vAlign w:val="center"/>
            <w:hideMark/>
          </w:tcPr>
          <w:p w14:paraId="6D98CBFC" w14:textId="77777777" w:rsidR="00CA7286" w:rsidRPr="00CA7286" w:rsidRDefault="00CA7286"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Alcance de la cobertura de conclusiones de la organización o de la unidad de negocios</w:t>
            </w:r>
          </w:p>
        </w:tc>
        <w:tc>
          <w:tcPr>
            <w:tcW w:w="0" w:type="auto"/>
            <w:vAlign w:val="center"/>
            <w:hideMark/>
          </w:tcPr>
          <w:p w14:paraId="19D66947" w14:textId="77777777" w:rsidR="00CA7286" w:rsidRPr="00CA7286" w:rsidRDefault="00CA7286"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Cobertura de los objetivos de los trabajos de auditoría</w:t>
            </w:r>
          </w:p>
        </w:tc>
        <w:tc>
          <w:tcPr>
            <w:tcW w:w="0" w:type="auto"/>
            <w:vAlign w:val="center"/>
            <w:hideMark/>
          </w:tcPr>
          <w:p w14:paraId="51917D78" w14:textId="77777777" w:rsidR="00CA7286" w:rsidRPr="00CA7286" w:rsidRDefault="00CA7286"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Garantizar que los trabajos de auditoría documentan adecuadamente el análisis de riesgos y complejidad</w:t>
            </w:r>
          </w:p>
        </w:tc>
        <w:tc>
          <w:tcPr>
            <w:tcW w:w="0" w:type="auto"/>
            <w:vAlign w:val="center"/>
            <w:hideMark/>
          </w:tcPr>
          <w:p w14:paraId="558732AB" w14:textId="77777777" w:rsidR="00CA7286" w:rsidRPr="00CA7286" w:rsidRDefault="00CA7286"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Porcentaje de trabajos que incluyen Análisis y Evaluación de Riesgos y Complejidad del Trabajo</w:t>
            </w:r>
          </w:p>
        </w:tc>
        <w:tc>
          <w:tcPr>
            <w:tcW w:w="0" w:type="auto"/>
            <w:vAlign w:val="center"/>
            <w:hideMark/>
          </w:tcPr>
          <w:p w14:paraId="3EAFAE4D" w14:textId="77777777" w:rsidR="00CA7286" w:rsidRPr="00CA7286" w:rsidRDefault="00CA7286"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(Nº de trabajos de auditoría con evaluación documentada / Total de trabajos realizados) × 100</w:t>
            </w:r>
          </w:p>
        </w:tc>
        <w:tc>
          <w:tcPr>
            <w:tcW w:w="0" w:type="auto"/>
            <w:vAlign w:val="center"/>
            <w:hideMark/>
          </w:tcPr>
          <w:p w14:paraId="74BE9430" w14:textId="77777777" w:rsidR="00CA7286" w:rsidRPr="00CA7286" w:rsidRDefault="00CA7286" w:rsidP="00073D9C">
            <w:pPr>
              <w:spacing w:before="100" w:beforeAutospacing="1" w:after="100" w:afterAutospacing="1" w:line="240" w:lineRule="auto"/>
              <w:jc w:val="center"/>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 95%</w:t>
            </w:r>
          </w:p>
        </w:tc>
        <w:tc>
          <w:tcPr>
            <w:tcW w:w="0" w:type="auto"/>
            <w:vAlign w:val="center"/>
            <w:hideMark/>
          </w:tcPr>
          <w:p w14:paraId="4E47FBEF" w14:textId="77777777" w:rsidR="00CA7286" w:rsidRPr="00CA7286" w:rsidRDefault="00CA7286" w:rsidP="00073D9C">
            <w:pPr>
              <w:spacing w:before="100" w:beforeAutospacing="1" w:after="100" w:afterAutospacing="1" w:line="240" w:lineRule="auto"/>
              <w:jc w:val="center"/>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Anual</w:t>
            </w:r>
          </w:p>
        </w:tc>
      </w:tr>
      <w:tr w:rsidR="00073D9C" w:rsidRPr="00CA7286" w14:paraId="4AA2A37C" w14:textId="77777777" w:rsidTr="00073D9C">
        <w:trPr>
          <w:tblCellSpacing w:w="15" w:type="dxa"/>
        </w:trPr>
        <w:tc>
          <w:tcPr>
            <w:tcW w:w="0" w:type="auto"/>
            <w:vMerge w:val="restart"/>
            <w:vAlign w:val="center"/>
            <w:hideMark/>
          </w:tcPr>
          <w:p w14:paraId="15281D54" w14:textId="77777777" w:rsidR="00073D9C" w:rsidRPr="00CA7286" w:rsidRDefault="00073D9C"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Expectativas de los grupos de interés</w:t>
            </w:r>
          </w:p>
        </w:tc>
        <w:tc>
          <w:tcPr>
            <w:tcW w:w="0" w:type="auto"/>
            <w:vAlign w:val="center"/>
            <w:hideMark/>
          </w:tcPr>
          <w:p w14:paraId="3EF9E2BA" w14:textId="77777777" w:rsidR="00073D9C" w:rsidRPr="00CA7286" w:rsidRDefault="00073D9C"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Control y mitigación de conflictos de interés</w:t>
            </w:r>
          </w:p>
        </w:tc>
        <w:tc>
          <w:tcPr>
            <w:tcW w:w="0" w:type="auto"/>
            <w:vAlign w:val="center"/>
            <w:hideMark/>
          </w:tcPr>
          <w:p w14:paraId="137BD0CA" w14:textId="77777777" w:rsidR="00073D9C" w:rsidRPr="00CA7286" w:rsidRDefault="00073D9C"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Asegurar que los conflictos de interés sean declarados y gestionados oportunamente</w:t>
            </w:r>
          </w:p>
        </w:tc>
        <w:tc>
          <w:tcPr>
            <w:tcW w:w="0" w:type="auto"/>
            <w:vAlign w:val="center"/>
            <w:hideMark/>
          </w:tcPr>
          <w:p w14:paraId="10059959" w14:textId="77777777" w:rsidR="00073D9C" w:rsidRPr="00CA7286" w:rsidRDefault="00073D9C"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Porcentaje de Declaraciones de Conflictos de Interés completadas a tiempo</w:t>
            </w:r>
          </w:p>
        </w:tc>
        <w:tc>
          <w:tcPr>
            <w:tcW w:w="0" w:type="auto"/>
            <w:vAlign w:val="center"/>
            <w:hideMark/>
          </w:tcPr>
          <w:p w14:paraId="41D89524" w14:textId="77777777" w:rsidR="00073D9C" w:rsidRPr="00CA7286" w:rsidRDefault="00073D9C"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(Nº de declaraciones completadas a tiempo / Total de declaraciones requeridas) × 100</w:t>
            </w:r>
          </w:p>
        </w:tc>
        <w:tc>
          <w:tcPr>
            <w:tcW w:w="0" w:type="auto"/>
            <w:vAlign w:val="center"/>
            <w:hideMark/>
          </w:tcPr>
          <w:p w14:paraId="2CDE6D8E" w14:textId="77777777" w:rsidR="00073D9C" w:rsidRPr="00CA7286" w:rsidRDefault="00073D9C" w:rsidP="00073D9C">
            <w:pPr>
              <w:spacing w:before="100" w:beforeAutospacing="1" w:after="100" w:afterAutospacing="1" w:line="240" w:lineRule="auto"/>
              <w:jc w:val="center"/>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 98%</w:t>
            </w:r>
          </w:p>
        </w:tc>
        <w:tc>
          <w:tcPr>
            <w:tcW w:w="0" w:type="auto"/>
            <w:vAlign w:val="center"/>
            <w:hideMark/>
          </w:tcPr>
          <w:p w14:paraId="6C1DB481" w14:textId="77777777" w:rsidR="00073D9C" w:rsidRPr="00CA7286" w:rsidRDefault="00073D9C" w:rsidP="00073D9C">
            <w:pPr>
              <w:spacing w:before="100" w:beforeAutospacing="1" w:after="100" w:afterAutospacing="1" w:line="240" w:lineRule="auto"/>
              <w:jc w:val="center"/>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Anual</w:t>
            </w:r>
          </w:p>
        </w:tc>
      </w:tr>
      <w:tr w:rsidR="00073D9C" w:rsidRPr="00CA7286" w14:paraId="7CEACED5" w14:textId="77777777" w:rsidTr="00073D9C">
        <w:trPr>
          <w:tblCellSpacing w:w="15" w:type="dxa"/>
        </w:trPr>
        <w:tc>
          <w:tcPr>
            <w:tcW w:w="0" w:type="auto"/>
            <w:vMerge/>
            <w:vAlign w:val="center"/>
            <w:hideMark/>
          </w:tcPr>
          <w:p w14:paraId="5C66B82B" w14:textId="53421923" w:rsidR="00073D9C" w:rsidRPr="00CA7286" w:rsidRDefault="00073D9C"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p>
        </w:tc>
        <w:tc>
          <w:tcPr>
            <w:tcW w:w="0" w:type="auto"/>
            <w:vAlign w:val="center"/>
            <w:hideMark/>
          </w:tcPr>
          <w:p w14:paraId="6BB42794" w14:textId="77777777" w:rsidR="00073D9C" w:rsidRPr="00CA7286" w:rsidRDefault="00073D9C"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Transparencia en la gestión de conflictos de interés</w:t>
            </w:r>
          </w:p>
        </w:tc>
        <w:tc>
          <w:tcPr>
            <w:tcW w:w="0" w:type="auto"/>
            <w:vAlign w:val="center"/>
            <w:hideMark/>
          </w:tcPr>
          <w:p w14:paraId="795F506C" w14:textId="77777777" w:rsidR="00073D9C" w:rsidRPr="00CA7286" w:rsidRDefault="00073D9C"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Identificar y gestionar oportunamente los conflictos de interés en auditoría interna</w:t>
            </w:r>
          </w:p>
        </w:tc>
        <w:tc>
          <w:tcPr>
            <w:tcW w:w="0" w:type="auto"/>
            <w:vAlign w:val="center"/>
            <w:hideMark/>
          </w:tcPr>
          <w:p w14:paraId="589D4295" w14:textId="77777777" w:rsidR="00073D9C" w:rsidRPr="00CA7286" w:rsidRDefault="00073D9C"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Número de conflictos de interés identificados y gestionados</w:t>
            </w:r>
          </w:p>
        </w:tc>
        <w:tc>
          <w:tcPr>
            <w:tcW w:w="0" w:type="auto"/>
            <w:vAlign w:val="center"/>
            <w:hideMark/>
          </w:tcPr>
          <w:p w14:paraId="24103801" w14:textId="77777777" w:rsidR="00073D9C" w:rsidRPr="00CA7286" w:rsidRDefault="00073D9C"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Total de conflictos identificados y gestionados en el periodo</w:t>
            </w:r>
          </w:p>
        </w:tc>
        <w:tc>
          <w:tcPr>
            <w:tcW w:w="0" w:type="auto"/>
            <w:vAlign w:val="center"/>
            <w:hideMark/>
          </w:tcPr>
          <w:p w14:paraId="1D414B18" w14:textId="77777777" w:rsidR="00073D9C" w:rsidRPr="00CA7286" w:rsidRDefault="00073D9C" w:rsidP="00073D9C">
            <w:pPr>
              <w:spacing w:before="100" w:beforeAutospacing="1" w:after="100" w:afterAutospacing="1" w:line="240" w:lineRule="auto"/>
              <w:jc w:val="center"/>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Reporte descriptivo semestral</w:t>
            </w:r>
          </w:p>
        </w:tc>
        <w:tc>
          <w:tcPr>
            <w:tcW w:w="0" w:type="auto"/>
            <w:vAlign w:val="center"/>
            <w:hideMark/>
          </w:tcPr>
          <w:p w14:paraId="6CEA8B31" w14:textId="77777777" w:rsidR="00073D9C" w:rsidRPr="00CA7286" w:rsidRDefault="00073D9C" w:rsidP="00073D9C">
            <w:pPr>
              <w:spacing w:before="100" w:beforeAutospacing="1" w:after="100" w:afterAutospacing="1" w:line="240" w:lineRule="auto"/>
              <w:jc w:val="center"/>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Semestral</w:t>
            </w:r>
          </w:p>
        </w:tc>
      </w:tr>
      <w:tr w:rsidR="00CA7286" w:rsidRPr="00CA7286" w14:paraId="027BBAE8" w14:textId="77777777" w:rsidTr="00073D9C">
        <w:trPr>
          <w:tblCellSpacing w:w="15" w:type="dxa"/>
        </w:trPr>
        <w:tc>
          <w:tcPr>
            <w:tcW w:w="0" w:type="auto"/>
            <w:vAlign w:val="center"/>
            <w:hideMark/>
          </w:tcPr>
          <w:p w14:paraId="11112863" w14:textId="77777777" w:rsidR="00CA7286" w:rsidRPr="00CA7286" w:rsidRDefault="00CA7286"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Necesidades de recursos humanos</w:t>
            </w:r>
          </w:p>
        </w:tc>
        <w:tc>
          <w:tcPr>
            <w:tcW w:w="0" w:type="auto"/>
            <w:vAlign w:val="center"/>
            <w:hideMark/>
          </w:tcPr>
          <w:p w14:paraId="5A4708F9" w14:textId="77777777" w:rsidR="00CA7286" w:rsidRPr="00CA7286" w:rsidRDefault="00CA7286"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Formación en escepticismo profesional</w:t>
            </w:r>
          </w:p>
        </w:tc>
        <w:tc>
          <w:tcPr>
            <w:tcW w:w="0" w:type="auto"/>
            <w:vAlign w:val="center"/>
            <w:hideMark/>
          </w:tcPr>
          <w:p w14:paraId="72301C55" w14:textId="77777777" w:rsidR="00CA7286" w:rsidRPr="00CA7286" w:rsidRDefault="00CA7286"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Asegurar que los auditores internos desarrollen habilidades de análisis crítico y escepticismo profesional</w:t>
            </w:r>
          </w:p>
        </w:tc>
        <w:tc>
          <w:tcPr>
            <w:tcW w:w="0" w:type="auto"/>
            <w:vAlign w:val="center"/>
            <w:hideMark/>
          </w:tcPr>
          <w:p w14:paraId="3ABBEDF4" w14:textId="77777777" w:rsidR="00CA7286" w:rsidRPr="00CA7286" w:rsidRDefault="00CA7286"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Porcentaje de auditores capacitados en escepticismo profesional</w:t>
            </w:r>
          </w:p>
        </w:tc>
        <w:tc>
          <w:tcPr>
            <w:tcW w:w="0" w:type="auto"/>
            <w:vAlign w:val="center"/>
            <w:hideMark/>
          </w:tcPr>
          <w:p w14:paraId="56A473E5" w14:textId="77777777" w:rsidR="00CA7286" w:rsidRPr="00CA7286" w:rsidRDefault="00CA7286"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(Nº de auditores capacitados / Total de auditores internos) × 100</w:t>
            </w:r>
          </w:p>
        </w:tc>
        <w:tc>
          <w:tcPr>
            <w:tcW w:w="0" w:type="auto"/>
            <w:vAlign w:val="center"/>
            <w:hideMark/>
          </w:tcPr>
          <w:p w14:paraId="7DFEF240" w14:textId="77777777" w:rsidR="00CA7286" w:rsidRPr="00CA7286" w:rsidRDefault="00CA7286" w:rsidP="00073D9C">
            <w:pPr>
              <w:spacing w:before="100" w:beforeAutospacing="1" w:after="100" w:afterAutospacing="1" w:line="240" w:lineRule="auto"/>
              <w:jc w:val="center"/>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100%</w:t>
            </w:r>
          </w:p>
        </w:tc>
        <w:tc>
          <w:tcPr>
            <w:tcW w:w="0" w:type="auto"/>
            <w:vAlign w:val="center"/>
            <w:hideMark/>
          </w:tcPr>
          <w:p w14:paraId="38A08E31" w14:textId="77777777" w:rsidR="00CA7286" w:rsidRPr="00CA7286" w:rsidRDefault="00CA7286" w:rsidP="00073D9C">
            <w:pPr>
              <w:spacing w:before="100" w:beforeAutospacing="1" w:after="100" w:afterAutospacing="1" w:line="240" w:lineRule="auto"/>
              <w:jc w:val="center"/>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Anual</w:t>
            </w:r>
          </w:p>
        </w:tc>
      </w:tr>
      <w:tr w:rsidR="00073D9C" w:rsidRPr="00CA7286" w14:paraId="574B5536" w14:textId="77777777" w:rsidTr="00073D9C">
        <w:trPr>
          <w:tblCellSpacing w:w="15" w:type="dxa"/>
        </w:trPr>
        <w:tc>
          <w:tcPr>
            <w:tcW w:w="0" w:type="auto"/>
            <w:vMerge w:val="restart"/>
            <w:vAlign w:val="center"/>
            <w:hideMark/>
          </w:tcPr>
          <w:p w14:paraId="5FBE063C" w14:textId="77777777" w:rsidR="00073D9C" w:rsidRPr="00CA7286" w:rsidRDefault="00073D9C"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Eficiencia financiera y operativa</w:t>
            </w:r>
          </w:p>
        </w:tc>
        <w:tc>
          <w:tcPr>
            <w:tcW w:w="0" w:type="auto"/>
            <w:vAlign w:val="center"/>
            <w:hideMark/>
          </w:tcPr>
          <w:p w14:paraId="18020F3B" w14:textId="77777777" w:rsidR="00073D9C" w:rsidRPr="00CA7286" w:rsidRDefault="00073D9C"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 xml:space="preserve">Control de calidad en los trabajos de </w:t>
            </w:r>
            <w:r w:rsidRPr="00CA7286">
              <w:rPr>
                <w:rFonts w:ascii="Arial" w:eastAsia="Times New Roman" w:hAnsi="Arial" w:cs="Arial"/>
                <w:color w:val="000000" w:themeColor="text1"/>
                <w:sz w:val="18"/>
                <w:szCs w:val="18"/>
                <w:lang w:eastAsia="es-CL"/>
              </w:rPr>
              <w:lastRenderedPageBreak/>
              <w:t>auditoría</w:t>
            </w:r>
          </w:p>
        </w:tc>
        <w:tc>
          <w:tcPr>
            <w:tcW w:w="0" w:type="auto"/>
            <w:vAlign w:val="center"/>
            <w:hideMark/>
          </w:tcPr>
          <w:p w14:paraId="220F1657" w14:textId="77777777" w:rsidR="00073D9C" w:rsidRPr="00CA7286" w:rsidRDefault="00073D9C"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lastRenderedPageBreak/>
              <w:t xml:space="preserve">Garantizar que todos los trabajos de auditoría sean </w:t>
            </w:r>
            <w:r w:rsidRPr="00CA7286">
              <w:rPr>
                <w:rFonts w:ascii="Arial" w:eastAsia="Times New Roman" w:hAnsi="Arial" w:cs="Arial"/>
                <w:color w:val="000000" w:themeColor="text1"/>
                <w:sz w:val="18"/>
                <w:szCs w:val="18"/>
                <w:lang w:eastAsia="es-CL"/>
              </w:rPr>
              <w:lastRenderedPageBreak/>
              <w:t>revisados por supervisores</w:t>
            </w:r>
          </w:p>
        </w:tc>
        <w:tc>
          <w:tcPr>
            <w:tcW w:w="0" w:type="auto"/>
            <w:vAlign w:val="center"/>
            <w:hideMark/>
          </w:tcPr>
          <w:p w14:paraId="37D8BB28" w14:textId="77777777" w:rsidR="00073D9C" w:rsidRPr="00CA7286" w:rsidRDefault="00073D9C"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lastRenderedPageBreak/>
              <w:t>Porcentaje de trabajos revisados por supervisores</w:t>
            </w:r>
          </w:p>
        </w:tc>
        <w:tc>
          <w:tcPr>
            <w:tcW w:w="0" w:type="auto"/>
            <w:vAlign w:val="center"/>
            <w:hideMark/>
          </w:tcPr>
          <w:p w14:paraId="1090C62D" w14:textId="77777777" w:rsidR="00073D9C" w:rsidRPr="00CA7286" w:rsidRDefault="00073D9C"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 xml:space="preserve">(Nº de trabajos de auditoría revisados / Total de trabajos </w:t>
            </w:r>
            <w:r w:rsidRPr="00CA7286">
              <w:rPr>
                <w:rFonts w:ascii="Arial" w:eastAsia="Times New Roman" w:hAnsi="Arial" w:cs="Arial"/>
                <w:color w:val="000000" w:themeColor="text1"/>
                <w:sz w:val="18"/>
                <w:szCs w:val="18"/>
                <w:lang w:eastAsia="es-CL"/>
              </w:rPr>
              <w:lastRenderedPageBreak/>
              <w:t>de auditoría realizados) × 100</w:t>
            </w:r>
          </w:p>
        </w:tc>
        <w:tc>
          <w:tcPr>
            <w:tcW w:w="0" w:type="auto"/>
            <w:vAlign w:val="center"/>
            <w:hideMark/>
          </w:tcPr>
          <w:p w14:paraId="1D0F5B41" w14:textId="77777777" w:rsidR="00073D9C" w:rsidRPr="00CA7286" w:rsidRDefault="00073D9C" w:rsidP="00073D9C">
            <w:pPr>
              <w:spacing w:before="100" w:beforeAutospacing="1" w:after="100" w:afterAutospacing="1" w:line="240" w:lineRule="auto"/>
              <w:jc w:val="center"/>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lastRenderedPageBreak/>
              <w:t>≥ 100%</w:t>
            </w:r>
          </w:p>
        </w:tc>
        <w:tc>
          <w:tcPr>
            <w:tcW w:w="0" w:type="auto"/>
            <w:vAlign w:val="center"/>
            <w:hideMark/>
          </w:tcPr>
          <w:p w14:paraId="712C9B36" w14:textId="77777777" w:rsidR="00073D9C" w:rsidRPr="00CA7286" w:rsidRDefault="00073D9C" w:rsidP="00073D9C">
            <w:pPr>
              <w:spacing w:before="100" w:beforeAutospacing="1" w:after="100" w:afterAutospacing="1" w:line="240" w:lineRule="auto"/>
              <w:jc w:val="center"/>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Anual</w:t>
            </w:r>
          </w:p>
        </w:tc>
      </w:tr>
      <w:tr w:rsidR="00073D9C" w:rsidRPr="00CA7286" w14:paraId="37BCC599" w14:textId="77777777" w:rsidTr="00073D9C">
        <w:trPr>
          <w:tblCellSpacing w:w="15" w:type="dxa"/>
        </w:trPr>
        <w:tc>
          <w:tcPr>
            <w:tcW w:w="0" w:type="auto"/>
            <w:vMerge/>
            <w:vAlign w:val="center"/>
          </w:tcPr>
          <w:p w14:paraId="0010D65B" w14:textId="42724AF9" w:rsidR="00073D9C" w:rsidRPr="00CA7286" w:rsidRDefault="00073D9C"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p>
        </w:tc>
        <w:tc>
          <w:tcPr>
            <w:tcW w:w="0" w:type="auto"/>
            <w:vAlign w:val="center"/>
            <w:hideMark/>
          </w:tcPr>
          <w:p w14:paraId="20FC1D74" w14:textId="77777777" w:rsidR="00073D9C" w:rsidRPr="00CA7286" w:rsidRDefault="00073D9C"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Calidad en la planificación y ejecución de auditorías</w:t>
            </w:r>
          </w:p>
        </w:tc>
        <w:tc>
          <w:tcPr>
            <w:tcW w:w="0" w:type="auto"/>
            <w:vAlign w:val="center"/>
            <w:hideMark/>
          </w:tcPr>
          <w:p w14:paraId="0302AE0F" w14:textId="77777777" w:rsidR="00073D9C" w:rsidRPr="00CA7286" w:rsidRDefault="00073D9C"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Evaluar la cantidad de hallazgos ajustados tras la supervisión de los trabajos de auditoría</w:t>
            </w:r>
          </w:p>
        </w:tc>
        <w:tc>
          <w:tcPr>
            <w:tcW w:w="0" w:type="auto"/>
            <w:vAlign w:val="center"/>
            <w:hideMark/>
          </w:tcPr>
          <w:p w14:paraId="18DC1812" w14:textId="77777777" w:rsidR="00073D9C" w:rsidRPr="00CA7286" w:rsidRDefault="00073D9C"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Promedio de hallazgos ajustados tras la revisión</w:t>
            </w:r>
          </w:p>
        </w:tc>
        <w:tc>
          <w:tcPr>
            <w:tcW w:w="0" w:type="auto"/>
            <w:vAlign w:val="center"/>
            <w:hideMark/>
          </w:tcPr>
          <w:p w14:paraId="4E941ADF" w14:textId="77777777" w:rsidR="00073D9C" w:rsidRPr="00CA7286" w:rsidRDefault="00073D9C"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(Total de hallazgos ajustados / Total de trabajos de auditoría revisados)</w:t>
            </w:r>
          </w:p>
        </w:tc>
        <w:tc>
          <w:tcPr>
            <w:tcW w:w="0" w:type="auto"/>
            <w:vAlign w:val="center"/>
            <w:hideMark/>
          </w:tcPr>
          <w:p w14:paraId="22D7AD90" w14:textId="77777777" w:rsidR="00073D9C" w:rsidRPr="00CA7286" w:rsidRDefault="00073D9C" w:rsidP="00073D9C">
            <w:pPr>
              <w:spacing w:before="100" w:beforeAutospacing="1" w:after="100" w:afterAutospacing="1" w:line="240" w:lineRule="auto"/>
              <w:jc w:val="center"/>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 2 por trabajo de auditoría</w:t>
            </w:r>
          </w:p>
        </w:tc>
        <w:tc>
          <w:tcPr>
            <w:tcW w:w="0" w:type="auto"/>
            <w:vAlign w:val="center"/>
            <w:hideMark/>
          </w:tcPr>
          <w:p w14:paraId="472A2AE7" w14:textId="77777777" w:rsidR="00073D9C" w:rsidRPr="00CA7286" w:rsidRDefault="00073D9C" w:rsidP="00073D9C">
            <w:pPr>
              <w:spacing w:before="100" w:beforeAutospacing="1" w:after="100" w:afterAutospacing="1" w:line="240" w:lineRule="auto"/>
              <w:jc w:val="center"/>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Semestral</w:t>
            </w:r>
          </w:p>
        </w:tc>
      </w:tr>
      <w:tr w:rsidR="00073D9C" w:rsidRPr="00CA7286" w14:paraId="543F1B7D" w14:textId="77777777" w:rsidTr="00073D9C">
        <w:trPr>
          <w:tblCellSpacing w:w="15" w:type="dxa"/>
        </w:trPr>
        <w:tc>
          <w:tcPr>
            <w:tcW w:w="0" w:type="auto"/>
            <w:vMerge/>
            <w:vAlign w:val="center"/>
          </w:tcPr>
          <w:p w14:paraId="5FF544B7" w14:textId="35B3022F" w:rsidR="00073D9C" w:rsidRPr="00CA7286" w:rsidRDefault="00073D9C"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p>
        </w:tc>
        <w:tc>
          <w:tcPr>
            <w:tcW w:w="0" w:type="auto"/>
            <w:vAlign w:val="center"/>
            <w:hideMark/>
          </w:tcPr>
          <w:p w14:paraId="5F59FAEB" w14:textId="77777777" w:rsidR="00073D9C" w:rsidRPr="00CA7286" w:rsidRDefault="00073D9C"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Seguimiento de acciones correctivas</w:t>
            </w:r>
          </w:p>
        </w:tc>
        <w:tc>
          <w:tcPr>
            <w:tcW w:w="0" w:type="auto"/>
            <w:vAlign w:val="center"/>
            <w:hideMark/>
          </w:tcPr>
          <w:p w14:paraId="19FBEC6E" w14:textId="77777777" w:rsidR="00073D9C" w:rsidRPr="00CA7286" w:rsidRDefault="00073D9C"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Asegurar la implementación oportuna de las recomendaciones de auditoría</w:t>
            </w:r>
          </w:p>
        </w:tc>
        <w:tc>
          <w:tcPr>
            <w:tcW w:w="0" w:type="auto"/>
            <w:vAlign w:val="center"/>
            <w:hideMark/>
          </w:tcPr>
          <w:p w14:paraId="70A9F061" w14:textId="77777777" w:rsidR="00073D9C" w:rsidRPr="00CA7286" w:rsidRDefault="00073D9C"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Porcentaje de acciones correctivas implementadas dentro del plazo establecido</w:t>
            </w:r>
          </w:p>
        </w:tc>
        <w:tc>
          <w:tcPr>
            <w:tcW w:w="0" w:type="auto"/>
            <w:vAlign w:val="center"/>
            <w:hideMark/>
          </w:tcPr>
          <w:p w14:paraId="4277B0D3" w14:textId="77777777" w:rsidR="00073D9C" w:rsidRPr="00CA7286" w:rsidRDefault="00073D9C"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(Nº de acciones correctivas implementadas a tiempo / Total de acciones correctivas recomendadas) × 100</w:t>
            </w:r>
          </w:p>
        </w:tc>
        <w:tc>
          <w:tcPr>
            <w:tcW w:w="0" w:type="auto"/>
            <w:vAlign w:val="center"/>
            <w:hideMark/>
          </w:tcPr>
          <w:p w14:paraId="04C76499" w14:textId="77777777" w:rsidR="00073D9C" w:rsidRPr="00CA7286" w:rsidRDefault="00073D9C" w:rsidP="00073D9C">
            <w:pPr>
              <w:spacing w:before="100" w:beforeAutospacing="1" w:after="100" w:afterAutospacing="1" w:line="240" w:lineRule="auto"/>
              <w:jc w:val="center"/>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 90%</w:t>
            </w:r>
          </w:p>
        </w:tc>
        <w:tc>
          <w:tcPr>
            <w:tcW w:w="0" w:type="auto"/>
            <w:vAlign w:val="center"/>
            <w:hideMark/>
          </w:tcPr>
          <w:p w14:paraId="706B022B" w14:textId="77777777" w:rsidR="00073D9C" w:rsidRPr="00CA7286" w:rsidRDefault="00073D9C" w:rsidP="00073D9C">
            <w:pPr>
              <w:spacing w:before="100" w:beforeAutospacing="1" w:after="100" w:afterAutospacing="1" w:line="240" w:lineRule="auto"/>
              <w:jc w:val="center"/>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Semestral</w:t>
            </w:r>
          </w:p>
        </w:tc>
      </w:tr>
      <w:tr w:rsidR="00073D9C" w:rsidRPr="00CA7286" w14:paraId="22AF0308" w14:textId="77777777" w:rsidTr="00073D9C">
        <w:trPr>
          <w:tblCellSpacing w:w="15" w:type="dxa"/>
        </w:trPr>
        <w:tc>
          <w:tcPr>
            <w:tcW w:w="0" w:type="auto"/>
            <w:vMerge/>
            <w:vAlign w:val="center"/>
          </w:tcPr>
          <w:p w14:paraId="519C361D" w14:textId="45066D1E" w:rsidR="00073D9C" w:rsidRPr="00CA7286" w:rsidRDefault="00073D9C" w:rsidP="00073D9C">
            <w:pPr>
              <w:spacing w:before="100" w:beforeAutospacing="1" w:after="100" w:afterAutospacing="1" w:line="240" w:lineRule="auto"/>
              <w:jc w:val="both"/>
              <w:rPr>
                <w:rFonts w:ascii="Arial" w:eastAsia="Times New Roman" w:hAnsi="Arial" w:cs="Arial"/>
                <w:color w:val="000000" w:themeColor="text1"/>
                <w:sz w:val="18"/>
                <w:szCs w:val="18"/>
                <w:lang w:eastAsia="es-CL"/>
              </w:rPr>
            </w:pPr>
          </w:p>
        </w:tc>
        <w:tc>
          <w:tcPr>
            <w:tcW w:w="0" w:type="auto"/>
            <w:vAlign w:val="center"/>
          </w:tcPr>
          <w:p w14:paraId="70D4D53E" w14:textId="4CE4B36D" w:rsidR="00073D9C" w:rsidRPr="00CA7286" w:rsidRDefault="00073D9C" w:rsidP="00073D9C">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Evaluación del rigor analítico y escepticismo profesional</w:t>
            </w:r>
          </w:p>
        </w:tc>
        <w:tc>
          <w:tcPr>
            <w:tcW w:w="0" w:type="auto"/>
            <w:vAlign w:val="center"/>
          </w:tcPr>
          <w:p w14:paraId="30059C24" w14:textId="7CC438C2" w:rsidR="00073D9C" w:rsidRPr="00CA7286" w:rsidRDefault="00073D9C" w:rsidP="00073D9C">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Asegurar que las observaciones críticas en auditoría reflejen un análisis profundo y fundamentado</w:t>
            </w:r>
          </w:p>
        </w:tc>
        <w:tc>
          <w:tcPr>
            <w:tcW w:w="0" w:type="auto"/>
            <w:vAlign w:val="center"/>
          </w:tcPr>
          <w:p w14:paraId="6243EB37" w14:textId="0EC2545B" w:rsidR="00073D9C" w:rsidRPr="00CA7286" w:rsidRDefault="00073D9C" w:rsidP="00073D9C">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Porcentaje de observaciones críticas identificadas durante los trabajos de auditoría</w:t>
            </w:r>
          </w:p>
        </w:tc>
        <w:tc>
          <w:tcPr>
            <w:tcW w:w="0" w:type="auto"/>
            <w:vAlign w:val="center"/>
          </w:tcPr>
          <w:p w14:paraId="62A38A86" w14:textId="502ACD7F" w:rsidR="00073D9C" w:rsidRPr="00CA7286" w:rsidRDefault="00073D9C" w:rsidP="00073D9C">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(Nº de observaciones críticas significativas / Total de observaciones registradas) × 100</w:t>
            </w:r>
          </w:p>
        </w:tc>
        <w:tc>
          <w:tcPr>
            <w:tcW w:w="0" w:type="auto"/>
            <w:vAlign w:val="center"/>
          </w:tcPr>
          <w:p w14:paraId="370625F3" w14:textId="151A61F2" w:rsidR="00073D9C" w:rsidRPr="00CA7286" w:rsidRDefault="00073D9C" w:rsidP="00073D9C">
            <w:pPr>
              <w:spacing w:before="100" w:beforeAutospacing="1" w:after="100" w:afterAutospacing="1" w:line="240" w:lineRule="auto"/>
              <w:jc w:val="center"/>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 85%</w:t>
            </w:r>
          </w:p>
        </w:tc>
        <w:tc>
          <w:tcPr>
            <w:tcW w:w="0" w:type="auto"/>
            <w:vAlign w:val="center"/>
          </w:tcPr>
          <w:p w14:paraId="01EAAB01" w14:textId="302C4E77" w:rsidR="00073D9C" w:rsidRPr="00CA7286" w:rsidRDefault="00073D9C" w:rsidP="00073D9C">
            <w:pPr>
              <w:spacing w:before="100" w:beforeAutospacing="1" w:after="100" w:afterAutospacing="1" w:line="240" w:lineRule="auto"/>
              <w:jc w:val="center"/>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Anual</w:t>
            </w:r>
          </w:p>
        </w:tc>
      </w:tr>
      <w:tr w:rsidR="00CA7286" w:rsidRPr="00CA7286" w14:paraId="12ACB945" w14:textId="77777777" w:rsidTr="00073D9C">
        <w:trPr>
          <w:tblCellSpacing w:w="15" w:type="dxa"/>
        </w:trPr>
        <w:tc>
          <w:tcPr>
            <w:tcW w:w="0" w:type="auto"/>
            <w:vAlign w:val="center"/>
            <w:hideMark/>
          </w:tcPr>
          <w:p w14:paraId="140E6B98" w14:textId="77777777" w:rsidR="00CA7286" w:rsidRPr="00CA7286" w:rsidRDefault="00CA7286"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Aprendizaje y desarrollo</w:t>
            </w:r>
          </w:p>
        </w:tc>
        <w:tc>
          <w:tcPr>
            <w:tcW w:w="0" w:type="auto"/>
            <w:vAlign w:val="center"/>
            <w:hideMark/>
          </w:tcPr>
          <w:p w14:paraId="08427040" w14:textId="77777777" w:rsidR="00CA7286" w:rsidRPr="00CA7286" w:rsidRDefault="00CA7286"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Documentación y mejora continua</w:t>
            </w:r>
          </w:p>
        </w:tc>
        <w:tc>
          <w:tcPr>
            <w:tcW w:w="0" w:type="auto"/>
            <w:vAlign w:val="center"/>
            <w:hideMark/>
          </w:tcPr>
          <w:p w14:paraId="77D90C68" w14:textId="77777777" w:rsidR="00CA7286" w:rsidRPr="00CA7286" w:rsidRDefault="00CA7286"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Garantizar que cada auditoría contribuya con aprendizajes documentados para la mejora continua</w:t>
            </w:r>
          </w:p>
        </w:tc>
        <w:tc>
          <w:tcPr>
            <w:tcW w:w="0" w:type="auto"/>
            <w:vAlign w:val="center"/>
            <w:hideMark/>
          </w:tcPr>
          <w:p w14:paraId="5CBDE4B8" w14:textId="77777777" w:rsidR="00CA7286" w:rsidRPr="00CA7286" w:rsidRDefault="00CA7286"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Número de aprendizajes documentados tras cada trabajo de auditoría</w:t>
            </w:r>
          </w:p>
        </w:tc>
        <w:tc>
          <w:tcPr>
            <w:tcW w:w="0" w:type="auto"/>
            <w:vAlign w:val="center"/>
            <w:hideMark/>
          </w:tcPr>
          <w:p w14:paraId="7BFC5942" w14:textId="77777777" w:rsidR="00CA7286" w:rsidRPr="00CA7286" w:rsidRDefault="00CA7286" w:rsidP="00CA7286">
            <w:pPr>
              <w:spacing w:before="100" w:beforeAutospacing="1" w:after="100" w:afterAutospacing="1" w:line="240" w:lineRule="auto"/>
              <w:jc w:val="both"/>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(Total de aprendizajes documentados / Total de trabajos de auditoría realizados)</w:t>
            </w:r>
          </w:p>
        </w:tc>
        <w:tc>
          <w:tcPr>
            <w:tcW w:w="0" w:type="auto"/>
            <w:vAlign w:val="center"/>
            <w:hideMark/>
          </w:tcPr>
          <w:p w14:paraId="1AF920D4" w14:textId="77777777" w:rsidR="00CA7286" w:rsidRPr="00CA7286" w:rsidRDefault="00CA7286" w:rsidP="00073D9C">
            <w:pPr>
              <w:spacing w:before="100" w:beforeAutospacing="1" w:after="100" w:afterAutospacing="1" w:line="240" w:lineRule="auto"/>
              <w:jc w:val="center"/>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 1 aprendizaje por trabajo de auditoría</w:t>
            </w:r>
          </w:p>
        </w:tc>
        <w:tc>
          <w:tcPr>
            <w:tcW w:w="0" w:type="auto"/>
            <w:vAlign w:val="center"/>
            <w:hideMark/>
          </w:tcPr>
          <w:p w14:paraId="626D3590" w14:textId="77777777" w:rsidR="00CA7286" w:rsidRPr="00CA7286" w:rsidRDefault="00CA7286" w:rsidP="00073D9C">
            <w:pPr>
              <w:spacing w:before="100" w:beforeAutospacing="1" w:after="100" w:afterAutospacing="1" w:line="240" w:lineRule="auto"/>
              <w:jc w:val="center"/>
              <w:rPr>
                <w:rFonts w:ascii="Arial" w:eastAsia="Times New Roman" w:hAnsi="Arial" w:cs="Arial"/>
                <w:color w:val="000000" w:themeColor="text1"/>
                <w:sz w:val="18"/>
                <w:szCs w:val="18"/>
                <w:lang w:eastAsia="es-CL"/>
              </w:rPr>
            </w:pPr>
            <w:r w:rsidRPr="00CA7286">
              <w:rPr>
                <w:rFonts w:ascii="Arial" w:eastAsia="Times New Roman" w:hAnsi="Arial" w:cs="Arial"/>
                <w:color w:val="000000" w:themeColor="text1"/>
                <w:sz w:val="18"/>
                <w:szCs w:val="18"/>
                <w:lang w:eastAsia="es-CL"/>
              </w:rPr>
              <w:t>Anual</w:t>
            </w:r>
          </w:p>
        </w:tc>
      </w:tr>
    </w:tbl>
    <w:p w14:paraId="2262FB2E" w14:textId="77777777" w:rsidR="00A7029A" w:rsidRDefault="00A7029A" w:rsidP="00A7029A">
      <w:pPr>
        <w:spacing w:after="0" w:line="240" w:lineRule="auto"/>
        <w:jc w:val="both"/>
        <w:rPr>
          <w:rFonts w:ascii="Arial" w:hAnsi="Arial" w:cs="Arial"/>
        </w:rPr>
      </w:pPr>
    </w:p>
    <w:p w14:paraId="3517A8E8" w14:textId="4C0107C9" w:rsidR="00E75A1F" w:rsidRPr="00474866" w:rsidRDefault="008E5C9C" w:rsidP="00E75A1F">
      <w:pPr>
        <w:spacing w:after="120"/>
        <w:jc w:val="both"/>
        <w:rPr>
          <w:rFonts w:ascii="Arial" w:hAnsi="Arial" w:cs="Arial"/>
          <w:b/>
          <w:color w:val="000000" w:themeColor="text1"/>
          <w:lang w:val="es-ES"/>
        </w:rPr>
      </w:pPr>
      <w:r>
        <w:rPr>
          <w:rFonts w:ascii="Arial" w:hAnsi="Arial" w:cs="Arial"/>
          <w:b/>
          <w:bCs/>
          <w:lang w:val="es-ES"/>
        </w:rPr>
        <w:t>7</w:t>
      </w:r>
      <w:r w:rsidR="00271635">
        <w:rPr>
          <w:rFonts w:ascii="Arial" w:hAnsi="Arial" w:cs="Arial"/>
          <w:b/>
          <w:bCs/>
          <w:lang w:val="es-ES"/>
        </w:rPr>
        <w:t xml:space="preserve">. </w:t>
      </w:r>
      <w:r w:rsidR="00271635" w:rsidRPr="00474866">
        <w:rPr>
          <w:rFonts w:ascii="Arial" w:hAnsi="Arial" w:cs="Arial"/>
          <w:b/>
          <w:bCs/>
          <w:lang w:val="es-ES"/>
        </w:rPr>
        <w:t>CONSIDERACIONES DE TELETRABAJO</w:t>
      </w:r>
    </w:p>
    <w:p w14:paraId="4973FC7D" w14:textId="6F0F32AA" w:rsidR="00E75A1F" w:rsidRDefault="00E75A1F" w:rsidP="00E75A1F">
      <w:pPr>
        <w:jc w:val="both"/>
        <w:rPr>
          <w:rFonts w:ascii="Arial" w:hAnsi="Arial" w:cs="Arial"/>
          <w:bCs/>
          <w:color w:val="000000" w:themeColor="text1"/>
          <w:lang w:val="es-ES"/>
        </w:rPr>
      </w:pPr>
      <w:r w:rsidRPr="00474866">
        <w:rPr>
          <w:rFonts w:ascii="Arial" w:hAnsi="Arial" w:cs="Arial"/>
          <w:bCs/>
          <w:color w:val="000000" w:themeColor="text1"/>
          <w:lang w:val="es-ES"/>
        </w:rPr>
        <w:t>En el caso de encontrase realizando el trabajo por vía virtual o teletrabajo, los formularios y actas deberán realizarse igualmente, pero su conformidad se otorgará por los medios telemáticos de que se disponga. En caso de no contar con firma electrónica, la conformidad se otorgará mediante un correo electrónico de aprobación y/o forma electrónica simple.</w:t>
      </w:r>
    </w:p>
    <w:p w14:paraId="0A2513AE" w14:textId="0137903F" w:rsidR="00E75A1F" w:rsidRPr="00016FA7" w:rsidRDefault="008E5C9C" w:rsidP="00016FA7">
      <w:pPr>
        <w:spacing w:after="120"/>
        <w:jc w:val="both"/>
        <w:rPr>
          <w:rFonts w:ascii="Arial" w:hAnsi="Arial" w:cs="Arial"/>
          <w:b/>
          <w:color w:val="000000" w:themeColor="text1"/>
          <w:lang w:val="es-ES"/>
        </w:rPr>
      </w:pPr>
      <w:r w:rsidRPr="00016FA7">
        <w:rPr>
          <w:rFonts w:ascii="Arial" w:hAnsi="Arial" w:cs="Arial"/>
          <w:b/>
          <w:bCs/>
          <w:color w:val="000000" w:themeColor="text1"/>
          <w:lang w:val="es-ES"/>
        </w:rPr>
        <w:t>8</w:t>
      </w:r>
      <w:r w:rsidR="00E75A1F" w:rsidRPr="00016FA7">
        <w:rPr>
          <w:rFonts w:ascii="Arial" w:hAnsi="Arial" w:cs="Arial"/>
          <w:b/>
          <w:bCs/>
          <w:color w:val="000000" w:themeColor="text1"/>
          <w:lang w:val="es-ES"/>
        </w:rPr>
        <w:t>. REGISTRO</w:t>
      </w:r>
    </w:p>
    <w:p w14:paraId="5ACD182F" w14:textId="0D5CA768" w:rsidR="005B668D" w:rsidRPr="00016FA7" w:rsidRDefault="005B668D" w:rsidP="00016FA7">
      <w:pPr>
        <w:spacing w:after="120"/>
        <w:jc w:val="both"/>
        <w:rPr>
          <w:rFonts w:ascii="Arial" w:hAnsi="Arial" w:cs="Arial"/>
        </w:rPr>
      </w:pPr>
      <w:r w:rsidRPr="00016FA7">
        <w:rPr>
          <w:rFonts w:ascii="Arial" w:hAnsi="Arial" w:cs="Arial"/>
        </w:rPr>
        <w:t xml:space="preserve">Los registros generados en la implementación del procedimiento incluirán los formularios utilizados en cada fase del proceso de auditoría interna. Estos registros documentarán la planificación del trabajo, la declaración de conflictos de intereses, la aplicación del escepticismo profesional, la supervisión y validación, la revisión final del informe y la evaluación post-trabajo. Todos los documentos serán almacenados en un sistema digital centralizado con acceso restringido y se conservarán por un período de </w:t>
      </w:r>
      <w:r w:rsidRPr="00016FA7">
        <w:rPr>
          <w:rFonts w:ascii="Arial" w:hAnsi="Arial" w:cs="Arial"/>
          <w:b/>
          <w:bCs/>
        </w:rPr>
        <w:t>XX</w:t>
      </w:r>
      <w:r w:rsidRPr="00016FA7">
        <w:rPr>
          <w:rFonts w:ascii="Arial" w:hAnsi="Arial" w:cs="Arial"/>
        </w:rPr>
        <w:t xml:space="preserve"> años, tras lo cual serán remitidos al archivo general del Servicio, asegurando el cumplimiento de las normativas aplicables en materia de conservación y seguridad de la información.</w:t>
      </w:r>
    </w:p>
    <w:p w14:paraId="29D7D376" w14:textId="77777777" w:rsidR="00D92B7B" w:rsidRDefault="00D92B7B" w:rsidP="00D92B7B">
      <w:pPr>
        <w:spacing w:after="0" w:line="240" w:lineRule="auto"/>
        <w:contextualSpacing/>
        <w:jc w:val="both"/>
        <w:rPr>
          <w:rFonts w:ascii="Arial" w:hAnsi="Arial" w:cs="Arial"/>
        </w:rPr>
      </w:pPr>
      <w:r w:rsidRPr="004B6AC6">
        <w:rPr>
          <w:rFonts w:ascii="Arial" w:hAnsi="Arial" w:cs="Arial"/>
        </w:rPr>
        <w:t>En esta materia</w:t>
      </w:r>
      <w:r w:rsidRPr="00611609">
        <w:rPr>
          <w:rFonts w:ascii="Arial" w:hAnsi="Arial" w:cs="Arial"/>
        </w:rPr>
        <w:t>, es fundamental considerar la legislación y normativa, tanto general como específica, que regula la conservación, transferencia y eliminación de documentos en el Estado.</w:t>
      </w:r>
    </w:p>
    <w:p w14:paraId="6AC5FFB7" w14:textId="77777777" w:rsidR="006172A5" w:rsidRPr="00D92B7B" w:rsidRDefault="006172A5" w:rsidP="00016FA7">
      <w:pPr>
        <w:spacing w:after="120"/>
        <w:jc w:val="both"/>
        <w:rPr>
          <w:rFonts w:ascii="Arial" w:hAnsi="Arial" w:cs="Arial"/>
        </w:rPr>
      </w:pPr>
    </w:p>
    <w:p w14:paraId="0925A1B6" w14:textId="1B206A7C" w:rsidR="005B668D" w:rsidRPr="00016FA7" w:rsidRDefault="005B668D" w:rsidP="00016FA7">
      <w:pPr>
        <w:spacing w:after="120"/>
        <w:jc w:val="both"/>
        <w:rPr>
          <w:rFonts w:ascii="Arial" w:hAnsi="Arial" w:cs="Arial"/>
          <w:b/>
          <w:bCs/>
        </w:rPr>
      </w:pPr>
      <w:r w:rsidRPr="00016FA7">
        <w:rPr>
          <w:rFonts w:ascii="Arial" w:hAnsi="Arial" w:cs="Arial"/>
          <w:b/>
          <w:bCs/>
        </w:rPr>
        <w:t>9. LISTA DE DISTRIBUCIÓN</w:t>
      </w:r>
    </w:p>
    <w:p w14:paraId="03B98668" w14:textId="77777777" w:rsidR="005B668D" w:rsidRPr="00016FA7" w:rsidRDefault="005B668D" w:rsidP="00016FA7">
      <w:pPr>
        <w:spacing w:after="120"/>
        <w:jc w:val="both"/>
        <w:rPr>
          <w:rFonts w:ascii="Arial" w:hAnsi="Arial" w:cs="Arial"/>
        </w:rPr>
      </w:pPr>
      <w:r w:rsidRPr="00016FA7">
        <w:rPr>
          <w:rFonts w:ascii="Arial" w:hAnsi="Arial" w:cs="Arial"/>
        </w:rPr>
        <w:t>Los registros y formularios asociados al procedimiento serán distribuidos de la siguiente manera:</w:t>
      </w:r>
    </w:p>
    <w:p w14:paraId="7F65FB99" w14:textId="77777777" w:rsidR="005B668D" w:rsidRPr="00016FA7" w:rsidRDefault="005B668D" w:rsidP="00016FA7">
      <w:pPr>
        <w:numPr>
          <w:ilvl w:val="0"/>
          <w:numId w:val="20"/>
        </w:numPr>
        <w:tabs>
          <w:tab w:val="clear" w:pos="720"/>
        </w:tabs>
        <w:spacing w:after="0" w:line="240" w:lineRule="auto"/>
        <w:ind w:left="567" w:hanging="357"/>
        <w:jc w:val="both"/>
        <w:rPr>
          <w:rFonts w:ascii="Arial" w:hAnsi="Arial" w:cs="Arial"/>
        </w:rPr>
      </w:pPr>
      <w:r w:rsidRPr="00016FA7">
        <w:rPr>
          <w:rFonts w:ascii="Arial" w:hAnsi="Arial" w:cs="Arial"/>
          <w:b/>
          <w:bCs/>
        </w:rPr>
        <w:t>Jefe de Servicio</w:t>
      </w:r>
      <w:r w:rsidRPr="00016FA7">
        <w:rPr>
          <w:rFonts w:ascii="Arial" w:hAnsi="Arial" w:cs="Arial"/>
        </w:rPr>
        <w:t>: Informes finales y reportes de seguimiento de mejoras.</w:t>
      </w:r>
    </w:p>
    <w:p w14:paraId="06722927" w14:textId="77777777" w:rsidR="005B668D" w:rsidRPr="00016FA7" w:rsidRDefault="005B668D" w:rsidP="00016FA7">
      <w:pPr>
        <w:numPr>
          <w:ilvl w:val="0"/>
          <w:numId w:val="20"/>
        </w:numPr>
        <w:tabs>
          <w:tab w:val="clear" w:pos="720"/>
        </w:tabs>
        <w:spacing w:after="0" w:line="240" w:lineRule="auto"/>
        <w:ind w:left="567" w:hanging="357"/>
        <w:jc w:val="both"/>
        <w:rPr>
          <w:rFonts w:ascii="Arial" w:hAnsi="Arial" w:cs="Arial"/>
        </w:rPr>
      </w:pPr>
      <w:r w:rsidRPr="00016FA7">
        <w:rPr>
          <w:rFonts w:ascii="Arial" w:hAnsi="Arial" w:cs="Arial"/>
          <w:b/>
          <w:bCs/>
        </w:rPr>
        <w:t>Jefe de Auditoría</w:t>
      </w:r>
      <w:r w:rsidRPr="00016FA7">
        <w:rPr>
          <w:rFonts w:ascii="Arial" w:hAnsi="Arial" w:cs="Arial"/>
        </w:rPr>
        <w:t>: Acceso completo a todos los documentos del procedimiento para garantizar la supervisión y mejora continua.</w:t>
      </w:r>
    </w:p>
    <w:p w14:paraId="64A1675A" w14:textId="77777777" w:rsidR="005B668D" w:rsidRPr="00016FA7" w:rsidRDefault="005B668D" w:rsidP="00016FA7">
      <w:pPr>
        <w:numPr>
          <w:ilvl w:val="0"/>
          <w:numId w:val="20"/>
        </w:numPr>
        <w:tabs>
          <w:tab w:val="clear" w:pos="720"/>
        </w:tabs>
        <w:spacing w:after="0" w:line="240" w:lineRule="auto"/>
        <w:ind w:left="567" w:hanging="357"/>
        <w:jc w:val="both"/>
        <w:rPr>
          <w:rFonts w:ascii="Arial" w:hAnsi="Arial" w:cs="Arial"/>
        </w:rPr>
      </w:pPr>
      <w:r w:rsidRPr="00016FA7">
        <w:rPr>
          <w:rFonts w:ascii="Arial" w:hAnsi="Arial" w:cs="Arial"/>
          <w:b/>
          <w:bCs/>
        </w:rPr>
        <w:t>Supervisores de Auditoría</w:t>
      </w:r>
      <w:r w:rsidRPr="00016FA7">
        <w:rPr>
          <w:rFonts w:ascii="Arial" w:hAnsi="Arial" w:cs="Arial"/>
        </w:rPr>
        <w:t>: Formularios de supervisión, validación de calidad y revisión final del informe.</w:t>
      </w:r>
    </w:p>
    <w:p w14:paraId="1F06CBA7" w14:textId="77777777" w:rsidR="005B668D" w:rsidRPr="00016FA7" w:rsidRDefault="005B668D" w:rsidP="00016FA7">
      <w:pPr>
        <w:numPr>
          <w:ilvl w:val="0"/>
          <w:numId w:val="20"/>
        </w:numPr>
        <w:tabs>
          <w:tab w:val="clear" w:pos="720"/>
        </w:tabs>
        <w:spacing w:after="0" w:line="240" w:lineRule="auto"/>
        <w:ind w:left="567" w:hanging="357"/>
        <w:jc w:val="both"/>
        <w:rPr>
          <w:rFonts w:ascii="Arial" w:hAnsi="Arial" w:cs="Arial"/>
        </w:rPr>
      </w:pPr>
      <w:r w:rsidRPr="00016FA7">
        <w:rPr>
          <w:rFonts w:ascii="Arial" w:hAnsi="Arial" w:cs="Arial"/>
          <w:b/>
          <w:bCs/>
        </w:rPr>
        <w:t>Auditores Internos</w:t>
      </w:r>
      <w:r w:rsidRPr="00016FA7">
        <w:rPr>
          <w:rFonts w:ascii="Arial" w:hAnsi="Arial" w:cs="Arial"/>
        </w:rPr>
        <w:t>: Formularios de evaluación de riesgos, declaración de conflictos de intereses y registro de observaciones.</w:t>
      </w:r>
    </w:p>
    <w:p w14:paraId="62BF84FB" w14:textId="77777777" w:rsidR="005B668D" w:rsidRPr="00016FA7" w:rsidRDefault="005B668D" w:rsidP="00016FA7">
      <w:pPr>
        <w:numPr>
          <w:ilvl w:val="0"/>
          <w:numId w:val="20"/>
        </w:numPr>
        <w:tabs>
          <w:tab w:val="clear" w:pos="720"/>
        </w:tabs>
        <w:spacing w:after="0" w:line="240" w:lineRule="auto"/>
        <w:ind w:left="567" w:hanging="357"/>
        <w:jc w:val="both"/>
        <w:rPr>
          <w:rFonts w:ascii="Arial" w:hAnsi="Arial" w:cs="Arial"/>
        </w:rPr>
      </w:pPr>
      <w:r w:rsidRPr="00016FA7">
        <w:rPr>
          <w:rFonts w:ascii="Arial" w:hAnsi="Arial" w:cs="Arial"/>
          <w:b/>
          <w:bCs/>
        </w:rPr>
        <w:t>Unidad de Mejora Continua</w:t>
      </w:r>
      <w:r w:rsidRPr="00016FA7">
        <w:rPr>
          <w:rFonts w:ascii="Arial" w:hAnsi="Arial" w:cs="Arial"/>
        </w:rPr>
        <w:t>: Evaluaciones post-trabajo y lecciones aprendidas.</w:t>
      </w:r>
    </w:p>
    <w:p w14:paraId="685D7DAD" w14:textId="77777777" w:rsidR="005B668D" w:rsidRPr="00016FA7" w:rsidRDefault="005B668D" w:rsidP="00016FA7">
      <w:pPr>
        <w:numPr>
          <w:ilvl w:val="0"/>
          <w:numId w:val="20"/>
        </w:numPr>
        <w:tabs>
          <w:tab w:val="clear" w:pos="720"/>
        </w:tabs>
        <w:spacing w:after="0" w:line="240" w:lineRule="auto"/>
        <w:ind w:left="567" w:hanging="357"/>
        <w:jc w:val="both"/>
        <w:rPr>
          <w:rFonts w:ascii="Arial" w:hAnsi="Arial" w:cs="Arial"/>
        </w:rPr>
      </w:pPr>
      <w:r w:rsidRPr="00016FA7">
        <w:rPr>
          <w:rFonts w:ascii="Arial" w:hAnsi="Arial" w:cs="Arial"/>
          <w:b/>
          <w:bCs/>
        </w:rPr>
        <w:lastRenderedPageBreak/>
        <w:t>Archivo General del Servicio</w:t>
      </w:r>
      <w:r w:rsidRPr="00016FA7">
        <w:rPr>
          <w:rFonts w:ascii="Arial" w:hAnsi="Arial" w:cs="Arial"/>
        </w:rPr>
        <w:t>: Documentación transferida tras el período de almacenamiento digital establecido.</w:t>
      </w:r>
    </w:p>
    <w:p w14:paraId="3BB3CB44" w14:textId="77777777" w:rsidR="00161E81" w:rsidRPr="00161E81" w:rsidRDefault="00161E81" w:rsidP="00016FA7">
      <w:pPr>
        <w:spacing w:after="0" w:line="240" w:lineRule="auto"/>
        <w:ind w:left="567"/>
        <w:jc w:val="both"/>
        <w:rPr>
          <w:rFonts w:ascii="Arial" w:hAnsi="Arial" w:cs="Arial"/>
          <w:color w:val="C00000"/>
        </w:rPr>
      </w:pPr>
    </w:p>
    <w:p w14:paraId="3143CC33" w14:textId="20091F51" w:rsidR="00474866" w:rsidRPr="00474866" w:rsidRDefault="008E5C9C" w:rsidP="00474866">
      <w:pPr>
        <w:jc w:val="both"/>
        <w:rPr>
          <w:rFonts w:ascii="Arial" w:eastAsia="Calibri" w:hAnsi="Arial" w:cs="Arial"/>
          <w:b/>
        </w:rPr>
      </w:pPr>
      <w:r>
        <w:rPr>
          <w:rFonts w:ascii="Arial" w:eastAsia="Calibri" w:hAnsi="Arial" w:cs="Arial"/>
          <w:b/>
        </w:rPr>
        <w:t>10</w:t>
      </w:r>
      <w:r w:rsidR="00474866" w:rsidRPr="00474866">
        <w:rPr>
          <w:rFonts w:ascii="Arial" w:eastAsia="Calibri" w:hAnsi="Arial" w:cs="Arial"/>
          <w:b/>
        </w:rPr>
        <w:t>. HISTORIAL DE REVISIONES</w:t>
      </w:r>
    </w:p>
    <w:tbl>
      <w:tblPr>
        <w:tblStyle w:val="TableGrid"/>
        <w:tblW w:w="0" w:type="auto"/>
        <w:tblInd w:w="108" w:type="dxa"/>
        <w:tblLook w:val="04A0" w:firstRow="1" w:lastRow="0" w:firstColumn="1" w:lastColumn="0" w:noHBand="0" w:noVBand="1"/>
      </w:tblPr>
      <w:tblGrid>
        <w:gridCol w:w="1924"/>
        <w:gridCol w:w="1161"/>
        <w:gridCol w:w="1276"/>
        <w:gridCol w:w="2126"/>
        <w:gridCol w:w="3578"/>
      </w:tblGrid>
      <w:tr w:rsidR="00474866" w:rsidRPr="00474866" w14:paraId="481932F9" w14:textId="77777777" w:rsidTr="00CE771C">
        <w:tc>
          <w:tcPr>
            <w:tcW w:w="1924" w:type="dxa"/>
            <w:shd w:val="clear" w:color="auto" w:fill="0070C0"/>
            <w:vAlign w:val="center"/>
          </w:tcPr>
          <w:p w14:paraId="10FD9653"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Antecedente</w:t>
            </w:r>
          </w:p>
        </w:tc>
        <w:tc>
          <w:tcPr>
            <w:tcW w:w="1161" w:type="dxa"/>
            <w:shd w:val="clear" w:color="auto" w:fill="0070C0"/>
            <w:vAlign w:val="center"/>
          </w:tcPr>
          <w:p w14:paraId="6B7CA0CD"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Edición</w:t>
            </w:r>
          </w:p>
        </w:tc>
        <w:tc>
          <w:tcPr>
            <w:tcW w:w="1276" w:type="dxa"/>
            <w:shd w:val="clear" w:color="auto" w:fill="0070C0"/>
            <w:vAlign w:val="center"/>
          </w:tcPr>
          <w:p w14:paraId="2731D096"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Fecha</w:t>
            </w:r>
          </w:p>
        </w:tc>
        <w:tc>
          <w:tcPr>
            <w:tcW w:w="2126" w:type="dxa"/>
            <w:shd w:val="clear" w:color="auto" w:fill="0070C0"/>
            <w:vAlign w:val="center"/>
          </w:tcPr>
          <w:p w14:paraId="3D1BC490"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Aprobación final</w:t>
            </w:r>
          </w:p>
        </w:tc>
        <w:tc>
          <w:tcPr>
            <w:tcW w:w="3578" w:type="dxa"/>
            <w:shd w:val="clear" w:color="auto" w:fill="0070C0"/>
            <w:vAlign w:val="center"/>
          </w:tcPr>
          <w:p w14:paraId="6D509962"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Descripción del cambio</w:t>
            </w:r>
          </w:p>
        </w:tc>
      </w:tr>
      <w:tr w:rsidR="00474866" w:rsidRPr="00474866" w14:paraId="6E9A2866" w14:textId="77777777" w:rsidTr="00474866">
        <w:tc>
          <w:tcPr>
            <w:tcW w:w="1924" w:type="dxa"/>
          </w:tcPr>
          <w:p w14:paraId="09C5435E"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Emisión</w:t>
            </w:r>
          </w:p>
        </w:tc>
        <w:tc>
          <w:tcPr>
            <w:tcW w:w="1161" w:type="dxa"/>
            <w:shd w:val="clear" w:color="auto" w:fill="auto"/>
          </w:tcPr>
          <w:p w14:paraId="6FB61682" w14:textId="77777777" w:rsidR="00474866" w:rsidRPr="00474866" w:rsidRDefault="00474866" w:rsidP="00AA6980">
            <w:pPr>
              <w:contextualSpacing/>
              <w:jc w:val="center"/>
              <w:rPr>
                <w:rFonts w:ascii="Arial" w:eastAsia="Calibri" w:hAnsi="Arial" w:cs="Arial"/>
                <w:lang w:val="es-ES"/>
              </w:rPr>
            </w:pPr>
          </w:p>
        </w:tc>
        <w:tc>
          <w:tcPr>
            <w:tcW w:w="1276" w:type="dxa"/>
            <w:shd w:val="clear" w:color="auto" w:fill="auto"/>
          </w:tcPr>
          <w:p w14:paraId="378A5D42" w14:textId="77777777" w:rsidR="00474866" w:rsidRPr="00474866" w:rsidRDefault="00474866" w:rsidP="00AA6980">
            <w:pPr>
              <w:contextualSpacing/>
              <w:jc w:val="center"/>
              <w:rPr>
                <w:rFonts w:ascii="Arial" w:eastAsia="Calibri" w:hAnsi="Arial" w:cs="Arial"/>
                <w:lang w:val="es-ES"/>
              </w:rPr>
            </w:pPr>
          </w:p>
        </w:tc>
        <w:tc>
          <w:tcPr>
            <w:tcW w:w="2126" w:type="dxa"/>
            <w:shd w:val="clear" w:color="auto" w:fill="auto"/>
          </w:tcPr>
          <w:p w14:paraId="52287355" w14:textId="77777777" w:rsidR="00474866" w:rsidRPr="00474866" w:rsidRDefault="00474866" w:rsidP="00AA6980">
            <w:pPr>
              <w:contextualSpacing/>
              <w:jc w:val="center"/>
              <w:rPr>
                <w:rFonts w:ascii="Arial" w:eastAsia="Calibri" w:hAnsi="Arial" w:cs="Arial"/>
                <w:lang w:val="es-ES"/>
              </w:rPr>
            </w:pPr>
          </w:p>
        </w:tc>
        <w:tc>
          <w:tcPr>
            <w:tcW w:w="3578" w:type="dxa"/>
            <w:shd w:val="clear" w:color="auto" w:fill="auto"/>
          </w:tcPr>
          <w:p w14:paraId="74DD7338" w14:textId="77777777" w:rsidR="00474866" w:rsidRPr="00474866" w:rsidRDefault="00474866" w:rsidP="00AA6980">
            <w:pPr>
              <w:contextualSpacing/>
              <w:jc w:val="center"/>
              <w:rPr>
                <w:rFonts w:ascii="Arial" w:eastAsia="Calibri" w:hAnsi="Arial" w:cs="Arial"/>
                <w:lang w:val="es-ES"/>
              </w:rPr>
            </w:pPr>
          </w:p>
        </w:tc>
      </w:tr>
      <w:tr w:rsidR="00474866" w:rsidRPr="00474866" w14:paraId="099E9CB6" w14:textId="77777777" w:rsidTr="00474866">
        <w:tc>
          <w:tcPr>
            <w:tcW w:w="1924" w:type="dxa"/>
          </w:tcPr>
          <w:p w14:paraId="2B0CB10A"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 xml:space="preserve">Primera revisión </w:t>
            </w:r>
          </w:p>
        </w:tc>
        <w:tc>
          <w:tcPr>
            <w:tcW w:w="1161" w:type="dxa"/>
          </w:tcPr>
          <w:p w14:paraId="20F09A56" w14:textId="77777777" w:rsidR="00474866" w:rsidRPr="00474866" w:rsidRDefault="00474866" w:rsidP="00AA6980">
            <w:pPr>
              <w:contextualSpacing/>
              <w:jc w:val="both"/>
              <w:rPr>
                <w:rFonts w:ascii="Arial" w:eastAsia="Calibri" w:hAnsi="Arial" w:cs="Arial"/>
                <w:lang w:val="es-ES"/>
              </w:rPr>
            </w:pPr>
          </w:p>
        </w:tc>
        <w:tc>
          <w:tcPr>
            <w:tcW w:w="1276" w:type="dxa"/>
          </w:tcPr>
          <w:p w14:paraId="495D9694" w14:textId="77777777" w:rsidR="00474866" w:rsidRPr="00474866" w:rsidRDefault="00474866" w:rsidP="00AA6980">
            <w:pPr>
              <w:contextualSpacing/>
              <w:jc w:val="both"/>
              <w:rPr>
                <w:rFonts w:ascii="Arial" w:eastAsia="Calibri" w:hAnsi="Arial" w:cs="Arial"/>
                <w:lang w:val="es-ES"/>
              </w:rPr>
            </w:pPr>
          </w:p>
        </w:tc>
        <w:tc>
          <w:tcPr>
            <w:tcW w:w="2126" w:type="dxa"/>
          </w:tcPr>
          <w:p w14:paraId="26669498" w14:textId="77777777" w:rsidR="00474866" w:rsidRPr="00474866" w:rsidRDefault="00474866" w:rsidP="00AA6980">
            <w:pPr>
              <w:contextualSpacing/>
              <w:jc w:val="both"/>
              <w:rPr>
                <w:rFonts w:ascii="Arial" w:eastAsia="Calibri" w:hAnsi="Arial" w:cs="Arial"/>
                <w:lang w:val="es-ES"/>
              </w:rPr>
            </w:pPr>
          </w:p>
        </w:tc>
        <w:tc>
          <w:tcPr>
            <w:tcW w:w="3578" w:type="dxa"/>
          </w:tcPr>
          <w:p w14:paraId="485F431D" w14:textId="77777777" w:rsidR="00474866" w:rsidRPr="00474866" w:rsidRDefault="00474866" w:rsidP="00AA6980">
            <w:pPr>
              <w:contextualSpacing/>
              <w:jc w:val="both"/>
              <w:rPr>
                <w:rFonts w:ascii="Arial" w:eastAsia="Calibri" w:hAnsi="Arial" w:cs="Arial"/>
                <w:lang w:val="es-ES"/>
              </w:rPr>
            </w:pPr>
          </w:p>
        </w:tc>
      </w:tr>
      <w:tr w:rsidR="00474866" w:rsidRPr="00474866" w14:paraId="3245CE20" w14:textId="77777777" w:rsidTr="00474866">
        <w:tc>
          <w:tcPr>
            <w:tcW w:w="1924" w:type="dxa"/>
          </w:tcPr>
          <w:p w14:paraId="24EE982F"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 xml:space="preserve">Segunda revisión </w:t>
            </w:r>
          </w:p>
        </w:tc>
        <w:tc>
          <w:tcPr>
            <w:tcW w:w="1161" w:type="dxa"/>
          </w:tcPr>
          <w:p w14:paraId="7051010A" w14:textId="77777777" w:rsidR="00474866" w:rsidRPr="00474866" w:rsidRDefault="00474866" w:rsidP="00AA6980">
            <w:pPr>
              <w:contextualSpacing/>
              <w:jc w:val="both"/>
              <w:rPr>
                <w:rFonts w:ascii="Arial" w:eastAsia="Calibri" w:hAnsi="Arial" w:cs="Arial"/>
                <w:lang w:val="es-ES"/>
              </w:rPr>
            </w:pPr>
          </w:p>
        </w:tc>
        <w:tc>
          <w:tcPr>
            <w:tcW w:w="1276" w:type="dxa"/>
          </w:tcPr>
          <w:p w14:paraId="6EA1BEC9" w14:textId="77777777" w:rsidR="00474866" w:rsidRPr="00474866" w:rsidRDefault="00474866" w:rsidP="00AA6980">
            <w:pPr>
              <w:contextualSpacing/>
              <w:jc w:val="both"/>
              <w:rPr>
                <w:rFonts w:ascii="Arial" w:eastAsia="Calibri" w:hAnsi="Arial" w:cs="Arial"/>
                <w:lang w:val="es-ES"/>
              </w:rPr>
            </w:pPr>
          </w:p>
        </w:tc>
        <w:tc>
          <w:tcPr>
            <w:tcW w:w="2126" w:type="dxa"/>
          </w:tcPr>
          <w:p w14:paraId="4E21236C" w14:textId="77777777" w:rsidR="00474866" w:rsidRPr="00474866" w:rsidRDefault="00474866" w:rsidP="00AA6980">
            <w:pPr>
              <w:contextualSpacing/>
              <w:jc w:val="both"/>
              <w:rPr>
                <w:rFonts w:ascii="Arial" w:eastAsia="Calibri" w:hAnsi="Arial" w:cs="Arial"/>
                <w:lang w:val="es-ES"/>
              </w:rPr>
            </w:pPr>
          </w:p>
        </w:tc>
        <w:tc>
          <w:tcPr>
            <w:tcW w:w="3578" w:type="dxa"/>
          </w:tcPr>
          <w:p w14:paraId="6858D08E" w14:textId="77777777" w:rsidR="00474866" w:rsidRPr="00474866" w:rsidRDefault="00474866" w:rsidP="00AA6980">
            <w:pPr>
              <w:contextualSpacing/>
              <w:jc w:val="both"/>
              <w:rPr>
                <w:rFonts w:ascii="Arial" w:eastAsia="Calibri" w:hAnsi="Arial" w:cs="Arial"/>
                <w:lang w:val="es-ES"/>
              </w:rPr>
            </w:pPr>
          </w:p>
        </w:tc>
      </w:tr>
      <w:tr w:rsidR="00474866" w:rsidRPr="00474866" w14:paraId="6276670C" w14:textId="77777777" w:rsidTr="00474866">
        <w:tc>
          <w:tcPr>
            <w:tcW w:w="1924" w:type="dxa"/>
          </w:tcPr>
          <w:p w14:paraId="3B0162BD"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Tercera revisión</w:t>
            </w:r>
          </w:p>
        </w:tc>
        <w:tc>
          <w:tcPr>
            <w:tcW w:w="1161" w:type="dxa"/>
          </w:tcPr>
          <w:p w14:paraId="3F35C095" w14:textId="77777777" w:rsidR="00474866" w:rsidRPr="00474866" w:rsidRDefault="00474866" w:rsidP="00AA6980">
            <w:pPr>
              <w:contextualSpacing/>
              <w:jc w:val="both"/>
              <w:rPr>
                <w:rFonts w:ascii="Arial" w:eastAsia="Calibri" w:hAnsi="Arial" w:cs="Arial"/>
                <w:lang w:val="es-ES"/>
              </w:rPr>
            </w:pPr>
          </w:p>
        </w:tc>
        <w:tc>
          <w:tcPr>
            <w:tcW w:w="1276" w:type="dxa"/>
          </w:tcPr>
          <w:p w14:paraId="0C29D864" w14:textId="77777777" w:rsidR="00474866" w:rsidRPr="00474866" w:rsidRDefault="00474866" w:rsidP="00AA6980">
            <w:pPr>
              <w:contextualSpacing/>
              <w:jc w:val="both"/>
              <w:rPr>
                <w:rFonts w:ascii="Arial" w:eastAsia="Calibri" w:hAnsi="Arial" w:cs="Arial"/>
                <w:lang w:val="es-ES"/>
              </w:rPr>
            </w:pPr>
          </w:p>
        </w:tc>
        <w:tc>
          <w:tcPr>
            <w:tcW w:w="2126" w:type="dxa"/>
          </w:tcPr>
          <w:p w14:paraId="3C5F3A03" w14:textId="77777777" w:rsidR="00474866" w:rsidRPr="00474866" w:rsidRDefault="00474866" w:rsidP="00AA6980">
            <w:pPr>
              <w:contextualSpacing/>
              <w:jc w:val="both"/>
              <w:rPr>
                <w:rFonts w:ascii="Arial" w:eastAsia="Calibri" w:hAnsi="Arial" w:cs="Arial"/>
                <w:lang w:val="es-ES"/>
              </w:rPr>
            </w:pPr>
          </w:p>
        </w:tc>
        <w:tc>
          <w:tcPr>
            <w:tcW w:w="3578" w:type="dxa"/>
          </w:tcPr>
          <w:p w14:paraId="2C415C15" w14:textId="77777777" w:rsidR="00474866" w:rsidRPr="00474866" w:rsidRDefault="00474866" w:rsidP="00AA6980">
            <w:pPr>
              <w:contextualSpacing/>
              <w:jc w:val="both"/>
              <w:rPr>
                <w:rFonts w:ascii="Arial" w:eastAsia="Calibri" w:hAnsi="Arial" w:cs="Arial"/>
                <w:lang w:val="es-ES"/>
              </w:rPr>
            </w:pPr>
          </w:p>
        </w:tc>
      </w:tr>
      <w:tr w:rsidR="00474866" w:rsidRPr="00474866" w14:paraId="1EDD5E42" w14:textId="77777777" w:rsidTr="00474866">
        <w:tc>
          <w:tcPr>
            <w:tcW w:w="1924" w:type="dxa"/>
          </w:tcPr>
          <w:p w14:paraId="735C13E5"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Cuarta revisión</w:t>
            </w:r>
          </w:p>
        </w:tc>
        <w:tc>
          <w:tcPr>
            <w:tcW w:w="1161" w:type="dxa"/>
          </w:tcPr>
          <w:p w14:paraId="2E741E8B" w14:textId="77777777" w:rsidR="00474866" w:rsidRPr="00474866" w:rsidRDefault="00474866" w:rsidP="00AA6980">
            <w:pPr>
              <w:contextualSpacing/>
              <w:jc w:val="both"/>
              <w:rPr>
                <w:rFonts w:ascii="Arial" w:eastAsia="Calibri" w:hAnsi="Arial" w:cs="Arial"/>
                <w:lang w:val="es-ES"/>
              </w:rPr>
            </w:pPr>
          </w:p>
        </w:tc>
        <w:tc>
          <w:tcPr>
            <w:tcW w:w="1276" w:type="dxa"/>
          </w:tcPr>
          <w:p w14:paraId="37C49922" w14:textId="77777777" w:rsidR="00474866" w:rsidRPr="00474866" w:rsidRDefault="00474866" w:rsidP="00AA6980">
            <w:pPr>
              <w:contextualSpacing/>
              <w:jc w:val="both"/>
              <w:rPr>
                <w:rFonts w:ascii="Arial" w:eastAsia="Calibri" w:hAnsi="Arial" w:cs="Arial"/>
                <w:lang w:val="es-ES"/>
              </w:rPr>
            </w:pPr>
          </w:p>
        </w:tc>
        <w:tc>
          <w:tcPr>
            <w:tcW w:w="2126" w:type="dxa"/>
          </w:tcPr>
          <w:p w14:paraId="0C3370A4" w14:textId="77777777" w:rsidR="00474866" w:rsidRPr="00474866" w:rsidRDefault="00474866" w:rsidP="00AA6980">
            <w:pPr>
              <w:contextualSpacing/>
              <w:jc w:val="both"/>
              <w:rPr>
                <w:rFonts w:ascii="Arial" w:eastAsia="Calibri" w:hAnsi="Arial" w:cs="Arial"/>
                <w:lang w:val="es-ES"/>
              </w:rPr>
            </w:pPr>
          </w:p>
        </w:tc>
        <w:tc>
          <w:tcPr>
            <w:tcW w:w="3578" w:type="dxa"/>
          </w:tcPr>
          <w:p w14:paraId="2C74FB67" w14:textId="77777777" w:rsidR="00474866" w:rsidRPr="00474866" w:rsidRDefault="00474866" w:rsidP="00AA6980">
            <w:pPr>
              <w:contextualSpacing/>
              <w:jc w:val="both"/>
              <w:rPr>
                <w:rFonts w:ascii="Arial" w:eastAsia="Calibri" w:hAnsi="Arial" w:cs="Arial"/>
                <w:lang w:val="es-ES"/>
              </w:rPr>
            </w:pPr>
          </w:p>
        </w:tc>
      </w:tr>
    </w:tbl>
    <w:p w14:paraId="675F7631" w14:textId="77777777" w:rsidR="005B668D" w:rsidRDefault="005B668D" w:rsidP="00E75A1F">
      <w:pPr>
        <w:spacing w:line="256" w:lineRule="auto"/>
        <w:contextualSpacing/>
        <w:jc w:val="both"/>
        <w:rPr>
          <w:rFonts w:ascii="Arial" w:eastAsia="Calibri" w:hAnsi="Arial" w:cs="Arial"/>
          <w:b/>
          <w:lang w:val="es-ES"/>
        </w:rPr>
      </w:pPr>
    </w:p>
    <w:p w14:paraId="328D3FE8" w14:textId="2FCD05AC" w:rsidR="0063480E" w:rsidRPr="00793DB1" w:rsidRDefault="00793DB1" w:rsidP="00E75A1F">
      <w:pPr>
        <w:spacing w:line="256" w:lineRule="auto"/>
        <w:contextualSpacing/>
        <w:jc w:val="both"/>
        <w:rPr>
          <w:rFonts w:ascii="Arial" w:eastAsia="Calibri" w:hAnsi="Arial" w:cs="Arial"/>
          <w:b/>
          <w:lang w:val="es-ES"/>
        </w:rPr>
      </w:pPr>
      <w:r w:rsidRPr="00793DB1">
        <w:rPr>
          <w:rFonts w:ascii="Arial" w:eastAsia="Calibri" w:hAnsi="Arial" w:cs="Arial"/>
          <w:b/>
          <w:lang w:val="es-ES"/>
        </w:rPr>
        <w:t>1</w:t>
      </w:r>
      <w:r w:rsidR="007A33CF">
        <w:rPr>
          <w:rFonts w:ascii="Arial" w:eastAsia="Calibri" w:hAnsi="Arial" w:cs="Arial"/>
          <w:b/>
          <w:lang w:val="es-ES"/>
        </w:rPr>
        <w:t>1</w:t>
      </w:r>
      <w:r w:rsidRPr="00793DB1">
        <w:rPr>
          <w:rFonts w:ascii="Arial" w:eastAsia="Calibri" w:hAnsi="Arial" w:cs="Arial"/>
          <w:b/>
          <w:lang w:val="es-ES"/>
        </w:rPr>
        <w:t>. ANEXOS</w:t>
      </w:r>
    </w:p>
    <w:p w14:paraId="2697BDD1" w14:textId="77777777" w:rsidR="00793DB1" w:rsidRPr="00474866" w:rsidRDefault="00793DB1" w:rsidP="00E75A1F">
      <w:pPr>
        <w:spacing w:line="256" w:lineRule="auto"/>
        <w:contextualSpacing/>
        <w:jc w:val="both"/>
        <w:rPr>
          <w:rFonts w:ascii="Arial" w:eastAsia="Calibri" w:hAnsi="Arial" w:cs="Arial"/>
          <w:b/>
          <w:u w:val="single"/>
          <w:lang w:val="es-ES"/>
        </w:rPr>
      </w:pPr>
    </w:p>
    <w:tbl>
      <w:tblPr>
        <w:tblStyle w:val="TableGrid"/>
        <w:tblW w:w="4895" w:type="pct"/>
        <w:tblInd w:w="108" w:type="dxa"/>
        <w:tblLook w:val="04A0" w:firstRow="1" w:lastRow="0" w:firstColumn="1" w:lastColumn="0" w:noHBand="0" w:noVBand="1"/>
      </w:tblPr>
      <w:tblGrid>
        <w:gridCol w:w="1910"/>
        <w:gridCol w:w="8155"/>
      </w:tblGrid>
      <w:tr w:rsidR="00325B75" w:rsidRPr="00474866" w14:paraId="5A6AC6B3" w14:textId="77777777" w:rsidTr="00151104">
        <w:trPr>
          <w:trHeight w:val="70"/>
        </w:trPr>
        <w:tc>
          <w:tcPr>
            <w:tcW w:w="949"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3D98AEBB" w14:textId="7C934F82" w:rsidR="00325B75" w:rsidRPr="00474866" w:rsidRDefault="00474866"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 xml:space="preserve">Anexo </w:t>
            </w:r>
            <w:r w:rsidR="00325B75" w:rsidRPr="00474866">
              <w:rPr>
                <w:rFonts w:ascii="Arial" w:eastAsia="Calibri" w:hAnsi="Arial" w:cs="Arial"/>
                <w:b/>
                <w:color w:val="FFFFFF" w:themeColor="background1"/>
                <w:lang w:val="es-ES"/>
              </w:rPr>
              <w:t>N°</w:t>
            </w:r>
          </w:p>
        </w:tc>
        <w:tc>
          <w:tcPr>
            <w:tcW w:w="4051"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25740F2E" w14:textId="77777777" w:rsidR="00325B75" w:rsidRPr="00474866" w:rsidRDefault="00325B75"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Nombre</w:t>
            </w:r>
          </w:p>
        </w:tc>
      </w:tr>
      <w:tr w:rsidR="00325B75" w:rsidRPr="00474866" w14:paraId="62B8CAB8" w14:textId="77777777" w:rsidTr="00151104">
        <w:trPr>
          <w:trHeight w:val="420"/>
        </w:trPr>
        <w:tc>
          <w:tcPr>
            <w:tcW w:w="949" w:type="pct"/>
            <w:tcBorders>
              <w:top w:val="single" w:sz="4" w:space="0" w:color="auto"/>
              <w:left w:val="single" w:sz="4" w:space="0" w:color="auto"/>
              <w:bottom w:val="single" w:sz="4" w:space="0" w:color="auto"/>
              <w:right w:val="single" w:sz="4" w:space="0" w:color="auto"/>
            </w:tcBorders>
            <w:vAlign w:val="center"/>
          </w:tcPr>
          <w:p w14:paraId="4D5596BF" w14:textId="3570E6FD" w:rsidR="00325B75" w:rsidRPr="00474866" w:rsidRDefault="00474866" w:rsidP="00FE2A9B">
            <w:pPr>
              <w:jc w:val="center"/>
              <w:rPr>
                <w:rFonts w:ascii="Arial" w:eastAsia="Calibri" w:hAnsi="Arial" w:cs="Arial"/>
                <w:lang w:val="es-ES"/>
              </w:rPr>
            </w:pPr>
            <w:r>
              <w:rPr>
                <w:rFonts w:ascii="Arial" w:eastAsia="Calibri" w:hAnsi="Arial" w:cs="Arial"/>
                <w:lang w:val="es-ES"/>
              </w:rPr>
              <w:t>1</w:t>
            </w:r>
          </w:p>
        </w:tc>
        <w:tc>
          <w:tcPr>
            <w:tcW w:w="4051" w:type="pct"/>
            <w:tcBorders>
              <w:top w:val="single" w:sz="4" w:space="0" w:color="auto"/>
              <w:left w:val="single" w:sz="4" w:space="0" w:color="auto"/>
              <w:bottom w:val="single" w:sz="4" w:space="0" w:color="auto"/>
              <w:right w:val="single" w:sz="4" w:space="0" w:color="auto"/>
            </w:tcBorders>
            <w:vAlign w:val="center"/>
          </w:tcPr>
          <w:p w14:paraId="6784EF6E" w14:textId="49B3C325" w:rsidR="00325B75" w:rsidRPr="00474866" w:rsidRDefault="00C31050" w:rsidP="00AA6980">
            <w:pPr>
              <w:jc w:val="center"/>
              <w:rPr>
                <w:rFonts w:ascii="Arial" w:eastAsia="Calibri" w:hAnsi="Arial" w:cs="Arial"/>
                <w:lang w:val="es-ES"/>
              </w:rPr>
            </w:pPr>
            <w:r w:rsidRPr="00C31050">
              <w:rPr>
                <w:rFonts w:ascii="Arial" w:eastAsia="Calibri" w:hAnsi="Arial" w:cs="Arial"/>
                <w:lang w:val="es-ES"/>
              </w:rPr>
              <w:t>Formulario Cumplimiento Indicadores Desempeño</w:t>
            </w:r>
          </w:p>
        </w:tc>
      </w:tr>
    </w:tbl>
    <w:p w14:paraId="28410719" w14:textId="77777777" w:rsidR="0063480E" w:rsidRPr="00474866" w:rsidRDefault="0063480E" w:rsidP="00A7029A">
      <w:pPr>
        <w:spacing w:line="256" w:lineRule="auto"/>
        <w:contextualSpacing/>
        <w:jc w:val="both"/>
        <w:rPr>
          <w:rFonts w:ascii="Arial" w:eastAsia="Calibri" w:hAnsi="Arial" w:cs="Arial"/>
          <w:b/>
          <w:u w:val="single"/>
          <w:lang w:val="es-ES"/>
        </w:rPr>
      </w:pPr>
    </w:p>
    <w:sectPr w:rsidR="0063480E" w:rsidRPr="00474866" w:rsidSect="00821C34">
      <w:headerReference w:type="even" r:id="rId8"/>
      <w:headerReference w:type="default" r:id="rId9"/>
      <w:footerReference w:type="even" r:id="rId10"/>
      <w:footerReference w:type="default" r:id="rId11"/>
      <w:headerReference w:type="first" r:id="rId12"/>
      <w:footerReference w:type="first" r:id="rId13"/>
      <w:pgSz w:w="12240" w:h="18720" w:code="14"/>
      <w:pgMar w:top="1417" w:right="1041"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EA51B0" w14:textId="77777777" w:rsidR="00745117" w:rsidRDefault="00745117" w:rsidP="0048081F">
      <w:pPr>
        <w:spacing w:after="0" w:line="240" w:lineRule="auto"/>
      </w:pPr>
      <w:r>
        <w:separator/>
      </w:r>
    </w:p>
  </w:endnote>
  <w:endnote w:type="continuationSeparator" w:id="0">
    <w:p w14:paraId="53BD42E4" w14:textId="77777777" w:rsidR="00745117" w:rsidRDefault="00745117" w:rsidP="0048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D9BE5" w14:textId="77777777" w:rsidR="006B424A" w:rsidRDefault="006B42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s-ES"/>
      </w:rPr>
      <w:id w:val="1906265384"/>
      <w:docPartObj>
        <w:docPartGallery w:val="Page Numbers (Bottom of Page)"/>
        <w:docPartUnique/>
      </w:docPartObj>
    </w:sdtPr>
    <w:sdtEndPr/>
    <w:sdtContent>
      <w:p w14:paraId="7D20F9CF" w14:textId="77777777" w:rsidR="00474866" w:rsidRPr="00D304E6" w:rsidRDefault="00474866" w:rsidP="00474866">
        <w:pPr>
          <w:pStyle w:val="Footer"/>
          <w:jc w:val="right"/>
          <w:rPr>
            <w:lang w:val="es-ES"/>
          </w:rPr>
        </w:pPr>
        <w:r>
          <w:rPr>
            <w:lang w:val="es-ES"/>
          </w:rPr>
          <w:t xml:space="preserve">Página | </w:t>
        </w:r>
        <w:r>
          <w:fldChar w:fldCharType="begin"/>
        </w:r>
        <w:r>
          <w:instrText>PAGE   \* MERGEFORMAT</w:instrText>
        </w:r>
        <w:r>
          <w:fldChar w:fldCharType="separate"/>
        </w:r>
        <w:r w:rsidR="00271635" w:rsidRPr="00271635">
          <w:rPr>
            <w:noProof/>
            <w:lang w:val="es-ES"/>
          </w:rPr>
          <w:t>6</w:t>
        </w:r>
        <w:r>
          <w:fldChar w:fldCharType="end"/>
        </w:r>
        <w:r>
          <w:rPr>
            <w:lang w:val="es-ES"/>
          </w:rPr>
          <w:t xml:space="preserve"> </w:t>
        </w:r>
      </w:p>
    </w:sdtContent>
  </w:sdt>
  <w:p w14:paraId="640E0908" w14:textId="77777777" w:rsidR="00474866" w:rsidRDefault="004748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C22A4" w14:textId="77777777" w:rsidR="006B424A" w:rsidRDefault="006B42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34AAAB" w14:textId="77777777" w:rsidR="00745117" w:rsidRDefault="00745117" w:rsidP="0048081F">
      <w:pPr>
        <w:spacing w:after="0" w:line="240" w:lineRule="auto"/>
      </w:pPr>
      <w:r>
        <w:separator/>
      </w:r>
    </w:p>
  </w:footnote>
  <w:footnote w:type="continuationSeparator" w:id="0">
    <w:p w14:paraId="3CE67618" w14:textId="77777777" w:rsidR="00745117" w:rsidRDefault="00745117" w:rsidP="004808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B57EF" w14:textId="0AA294FE" w:rsidR="006B424A" w:rsidRDefault="00CC7F16">
    <w:pPr>
      <w:pStyle w:val="Header"/>
    </w:pPr>
    <w:r>
      <w:rPr>
        <w:noProof/>
      </w:rPr>
      <w:pict w14:anchorId="6D3E50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507641" o:spid="_x0000_s1026" type="#_x0000_t136" style="position:absolute;margin-left:0;margin-top:0;width:620.85pt;height:88.65pt;rotation:315;z-index:-251655168;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88" w:type="pct"/>
      <w:tblLayout w:type="fixed"/>
      <w:tblLook w:val="04A0" w:firstRow="1" w:lastRow="0" w:firstColumn="1" w:lastColumn="0" w:noHBand="0" w:noVBand="1"/>
    </w:tblPr>
    <w:tblGrid>
      <w:gridCol w:w="1527"/>
      <w:gridCol w:w="2457"/>
      <w:gridCol w:w="2550"/>
      <w:gridCol w:w="2061"/>
      <w:gridCol w:w="1661"/>
    </w:tblGrid>
    <w:tr w:rsidR="00550434" w14:paraId="7E292AB5" w14:textId="77777777" w:rsidTr="000C6CEA">
      <w:trPr>
        <w:trHeight w:val="276"/>
      </w:trPr>
      <w:tc>
        <w:tcPr>
          <w:tcW w:w="744" w:type="pct"/>
          <w:vMerge w:val="restart"/>
          <w:tcBorders>
            <w:top w:val="single" w:sz="4" w:space="0" w:color="auto"/>
            <w:left w:val="single" w:sz="4" w:space="0" w:color="auto"/>
            <w:bottom w:val="single" w:sz="4" w:space="0" w:color="auto"/>
            <w:right w:val="single" w:sz="4" w:space="0" w:color="auto"/>
          </w:tcBorders>
          <w:vAlign w:val="center"/>
        </w:tcPr>
        <w:p w14:paraId="2746651C" w14:textId="0A228D4E" w:rsidR="00550434" w:rsidRDefault="00CC7F16" w:rsidP="000C6CEA">
          <w:pPr>
            <w:pStyle w:val="Header"/>
            <w:ind w:left="-142" w:right="-109"/>
            <w:jc w:val="center"/>
          </w:pPr>
          <w:r>
            <w:rPr>
              <w:noProof/>
            </w:rPr>
            <w:pict w14:anchorId="6AA9AB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507642" o:spid="_x0000_s1027" type="#_x0000_t136" style="position:absolute;left:0;text-align:left;margin-left:0;margin-top:0;width:620.85pt;height:88.65pt;rotation:315;z-index:-251653120;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r w:rsidR="000C6CEA">
            <w:rPr>
              <w:noProof/>
            </w:rPr>
            <w:drawing>
              <wp:inline distT="0" distB="0" distL="0" distR="0" wp14:anchorId="5DC104D5" wp14:editId="50E33AB7">
                <wp:extent cx="924128" cy="554355"/>
                <wp:effectExtent l="0" t="0" r="9525" b="0"/>
                <wp:docPr id="5459664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0819" cy="564367"/>
                        </a:xfrm>
                        <a:prstGeom prst="rect">
                          <a:avLst/>
                        </a:prstGeom>
                        <a:noFill/>
                        <a:ln>
                          <a:noFill/>
                        </a:ln>
                      </pic:spPr>
                    </pic:pic>
                  </a:graphicData>
                </a:graphic>
              </wp:inline>
            </w:drawing>
          </w:r>
        </w:p>
      </w:tc>
      <w:tc>
        <w:tcPr>
          <w:tcW w:w="3446" w:type="pct"/>
          <w:gridSpan w:val="3"/>
          <w:tcBorders>
            <w:left w:val="single" w:sz="4" w:space="0" w:color="auto"/>
          </w:tcBorders>
          <w:vAlign w:val="center"/>
          <w:hideMark/>
        </w:tcPr>
        <w:p w14:paraId="21643332" w14:textId="50DC1A56" w:rsidR="00550434" w:rsidRDefault="00550434" w:rsidP="00AA6980">
          <w:pPr>
            <w:pStyle w:val="Header"/>
            <w:jc w:val="center"/>
            <w:rPr>
              <w:rFonts w:ascii="Arial" w:eastAsia="Calibri" w:hAnsi="Arial" w:cs="Arial"/>
              <w:b/>
              <w:lang w:val="es-ES"/>
            </w:rPr>
          </w:pPr>
          <w:r>
            <w:rPr>
              <w:rFonts w:ascii="Arial" w:eastAsia="Calibri" w:hAnsi="Arial" w:cs="Arial"/>
              <w:b/>
              <w:lang w:val="es-ES"/>
            </w:rPr>
            <w:t xml:space="preserve">PROCEDIMIENTO </w:t>
          </w:r>
        </w:p>
        <w:p w14:paraId="31F41C25" w14:textId="3B51D964" w:rsidR="00550434" w:rsidRPr="00A60CEF" w:rsidRDefault="006611A1" w:rsidP="00AA6980">
          <w:pPr>
            <w:jc w:val="center"/>
            <w:rPr>
              <w:rFonts w:ascii="Arial" w:hAnsi="Arial" w:cs="Arial"/>
              <w:b/>
            </w:rPr>
          </w:pPr>
          <w:r w:rsidRPr="006611A1">
            <w:rPr>
              <w:rFonts w:ascii="Arial" w:eastAsia="Calibri" w:hAnsi="Arial" w:cs="Arial"/>
              <w:b/>
              <w:lang w:val="es-ES"/>
            </w:rPr>
            <w:t>IMPLEMENTACIÓN DEL DEBIDO CUIDADO PROFESIONAL Y ESCEPTICISMO</w:t>
          </w:r>
        </w:p>
      </w:tc>
      <w:tc>
        <w:tcPr>
          <w:tcW w:w="810" w:type="pct"/>
          <w:vMerge w:val="restart"/>
          <w:vAlign w:val="center"/>
          <w:hideMark/>
        </w:tcPr>
        <w:p w14:paraId="7CE87DA5" w14:textId="77777777" w:rsidR="00550434" w:rsidRPr="007A58D1" w:rsidRDefault="00550434" w:rsidP="00AA6980">
          <w:pPr>
            <w:pStyle w:val="Header"/>
            <w:jc w:val="center"/>
          </w:pPr>
          <w:r w:rsidRPr="007A58D1">
            <w:t>Versión: xx</w:t>
          </w:r>
        </w:p>
      </w:tc>
    </w:tr>
    <w:tr w:rsidR="00550434" w14:paraId="3E720DB3" w14:textId="77777777" w:rsidTr="00550434">
      <w:trPr>
        <w:trHeight w:val="70"/>
      </w:trPr>
      <w:tc>
        <w:tcPr>
          <w:tcW w:w="744" w:type="pct"/>
          <w:vMerge/>
          <w:tcBorders>
            <w:top w:val="single" w:sz="4" w:space="0" w:color="auto"/>
            <w:left w:val="single" w:sz="4" w:space="0" w:color="auto"/>
            <w:bottom w:val="single" w:sz="4" w:space="0" w:color="auto"/>
            <w:right w:val="single" w:sz="4" w:space="0" w:color="auto"/>
          </w:tcBorders>
          <w:vAlign w:val="center"/>
          <w:hideMark/>
        </w:tcPr>
        <w:p w14:paraId="0C58670E" w14:textId="77777777" w:rsidR="00550434" w:rsidRDefault="00550434" w:rsidP="00AA6980"/>
      </w:tc>
      <w:tc>
        <w:tcPr>
          <w:tcW w:w="1198" w:type="pct"/>
          <w:tcBorders>
            <w:left w:val="single" w:sz="4" w:space="0" w:color="auto"/>
          </w:tcBorders>
          <w:vAlign w:val="center"/>
          <w:hideMark/>
        </w:tcPr>
        <w:p w14:paraId="36763CF5" w14:textId="77777777" w:rsidR="00550434" w:rsidRPr="007A58D1" w:rsidRDefault="00550434" w:rsidP="00AA6980">
          <w:pPr>
            <w:pStyle w:val="Header"/>
            <w:jc w:val="both"/>
          </w:pPr>
          <w:r>
            <w:t>SERVICIO</w:t>
          </w:r>
          <w:r w:rsidRPr="007A58D1">
            <w:t>:</w:t>
          </w:r>
        </w:p>
      </w:tc>
      <w:tc>
        <w:tcPr>
          <w:tcW w:w="1243" w:type="pct"/>
          <w:tcBorders>
            <w:left w:val="single" w:sz="4" w:space="0" w:color="auto"/>
          </w:tcBorders>
          <w:vAlign w:val="center"/>
        </w:tcPr>
        <w:p w14:paraId="710D57AC" w14:textId="61F4ADDC" w:rsidR="00550434" w:rsidRPr="007A58D1" w:rsidRDefault="00550434" w:rsidP="00AA6980">
          <w:pPr>
            <w:pStyle w:val="Header"/>
            <w:jc w:val="both"/>
          </w:pPr>
          <w:r w:rsidRPr="007A58D1">
            <w:t>CODIGO:</w:t>
          </w:r>
          <w:r w:rsidR="00BC0CDA">
            <w:t xml:space="preserve"> 01</w:t>
          </w:r>
          <w:r w:rsidR="00CC7F16">
            <w:t>7</w:t>
          </w:r>
        </w:p>
      </w:tc>
      <w:tc>
        <w:tcPr>
          <w:tcW w:w="1005" w:type="pct"/>
          <w:vAlign w:val="center"/>
        </w:tcPr>
        <w:p w14:paraId="27E94511" w14:textId="77777777" w:rsidR="00550434" w:rsidRPr="007A58D1" w:rsidRDefault="00550434" w:rsidP="00AA6980">
          <w:pPr>
            <w:pStyle w:val="Header"/>
            <w:jc w:val="both"/>
          </w:pPr>
          <w:r w:rsidRPr="007A58D1">
            <w:t>VIGENCIA:</w:t>
          </w:r>
        </w:p>
      </w:tc>
      <w:tc>
        <w:tcPr>
          <w:tcW w:w="810" w:type="pct"/>
          <w:vMerge/>
          <w:vAlign w:val="center"/>
          <w:hideMark/>
        </w:tcPr>
        <w:p w14:paraId="3B0B6016" w14:textId="77777777" w:rsidR="00550434" w:rsidRPr="009F6386" w:rsidRDefault="00550434" w:rsidP="00AA6980">
          <w:pPr>
            <w:jc w:val="center"/>
            <w:rPr>
              <w:b/>
            </w:rPr>
          </w:pPr>
        </w:p>
      </w:tc>
    </w:tr>
  </w:tbl>
  <w:p w14:paraId="6D5BD87E" w14:textId="77777777" w:rsidR="00550434" w:rsidRDefault="005504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86942" w14:textId="73429035" w:rsidR="006B424A" w:rsidRDefault="00CC7F16">
    <w:pPr>
      <w:pStyle w:val="Header"/>
    </w:pPr>
    <w:r>
      <w:rPr>
        <w:noProof/>
      </w:rPr>
      <w:pict w14:anchorId="38ECE6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507640" o:spid="_x0000_s1025" type="#_x0000_t136" style="position:absolute;margin-left:0;margin-top:0;width:620.85pt;height:88.65pt;rotation:315;z-index:-251657216;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84338"/>
    <w:multiLevelType w:val="multilevel"/>
    <w:tmpl w:val="494EB4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66A5C"/>
    <w:multiLevelType w:val="hybridMultilevel"/>
    <w:tmpl w:val="50089902"/>
    <w:lvl w:ilvl="0" w:tplc="340A000B">
      <w:start w:val="1"/>
      <w:numFmt w:val="bullet"/>
      <w:lvlText w:val=""/>
      <w:lvlJc w:val="left"/>
      <w:pPr>
        <w:ind w:left="1440" w:hanging="360"/>
      </w:pPr>
      <w:rPr>
        <w:rFonts w:ascii="Wingdings" w:hAnsi="Wingdings"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2" w15:restartNumberingAfterBreak="0">
    <w:nsid w:val="0C72211C"/>
    <w:multiLevelType w:val="multilevel"/>
    <w:tmpl w:val="1CAC74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F30639"/>
    <w:multiLevelType w:val="hybridMultilevel"/>
    <w:tmpl w:val="854EA1E2"/>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4" w15:restartNumberingAfterBreak="0">
    <w:nsid w:val="1C9D6169"/>
    <w:multiLevelType w:val="multilevel"/>
    <w:tmpl w:val="EA704D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415581"/>
    <w:multiLevelType w:val="hybridMultilevel"/>
    <w:tmpl w:val="DB724706"/>
    <w:lvl w:ilvl="0" w:tplc="340A000B">
      <w:start w:val="1"/>
      <w:numFmt w:val="bullet"/>
      <w:lvlText w:val=""/>
      <w:lvlJc w:val="left"/>
      <w:pPr>
        <w:ind w:left="1440" w:hanging="360"/>
      </w:pPr>
      <w:rPr>
        <w:rFonts w:ascii="Wingdings" w:hAnsi="Wingdings"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6" w15:restartNumberingAfterBreak="0">
    <w:nsid w:val="22670F53"/>
    <w:multiLevelType w:val="multilevel"/>
    <w:tmpl w:val="0BC61B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C30749"/>
    <w:multiLevelType w:val="multilevel"/>
    <w:tmpl w:val="7096A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DF0F2D"/>
    <w:multiLevelType w:val="hybridMultilevel"/>
    <w:tmpl w:val="C8A8854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7AC3031"/>
    <w:multiLevelType w:val="multilevel"/>
    <w:tmpl w:val="11F43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964811"/>
    <w:multiLevelType w:val="multilevel"/>
    <w:tmpl w:val="E3DC1092"/>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006FB4"/>
    <w:multiLevelType w:val="hybridMultilevel"/>
    <w:tmpl w:val="02B4048E"/>
    <w:lvl w:ilvl="0" w:tplc="340A0003">
      <w:start w:val="1"/>
      <w:numFmt w:val="bullet"/>
      <w:lvlText w:val="o"/>
      <w:lvlJc w:val="left"/>
      <w:pPr>
        <w:ind w:left="720" w:hanging="360"/>
      </w:pPr>
      <w:rPr>
        <w:rFonts w:ascii="Courier New" w:hAnsi="Courier New" w:cs="Courier New"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41CF6BFE"/>
    <w:multiLevelType w:val="multilevel"/>
    <w:tmpl w:val="93AA63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6F2EA0"/>
    <w:multiLevelType w:val="multilevel"/>
    <w:tmpl w:val="3F42118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6223DA"/>
    <w:multiLevelType w:val="hybridMultilevel"/>
    <w:tmpl w:val="2A7083C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4EF14BC8"/>
    <w:multiLevelType w:val="multilevel"/>
    <w:tmpl w:val="F9087088"/>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151477A"/>
    <w:multiLevelType w:val="multilevel"/>
    <w:tmpl w:val="FC4CA87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335291"/>
    <w:multiLevelType w:val="multilevel"/>
    <w:tmpl w:val="893677A8"/>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495D19"/>
    <w:multiLevelType w:val="multilevel"/>
    <w:tmpl w:val="4B36DC56"/>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DC74B67"/>
    <w:multiLevelType w:val="hybridMultilevel"/>
    <w:tmpl w:val="F8928C8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73BE2170"/>
    <w:multiLevelType w:val="multilevel"/>
    <w:tmpl w:val="ADFAE6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5473A4"/>
    <w:multiLevelType w:val="hybridMultilevel"/>
    <w:tmpl w:val="467088E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7E112917"/>
    <w:multiLevelType w:val="multilevel"/>
    <w:tmpl w:val="A86E1D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6850474">
    <w:abstractNumId w:val="8"/>
  </w:num>
  <w:num w:numId="2" w16cid:durableId="1183938678">
    <w:abstractNumId w:val="3"/>
  </w:num>
  <w:num w:numId="3" w16cid:durableId="1447044179">
    <w:abstractNumId w:val="18"/>
  </w:num>
  <w:num w:numId="4" w16cid:durableId="474370395">
    <w:abstractNumId w:val="13"/>
  </w:num>
  <w:num w:numId="5" w16cid:durableId="484125950">
    <w:abstractNumId w:val="17"/>
  </w:num>
  <w:num w:numId="6" w16cid:durableId="1394163103">
    <w:abstractNumId w:val="16"/>
  </w:num>
  <w:num w:numId="7" w16cid:durableId="1257330096">
    <w:abstractNumId w:val="15"/>
  </w:num>
  <w:num w:numId="8" w16cid:durableId="660693532">
    <w:abstractNumId w:val="6"/>
  </w:num>
  <w:num w:numId="9" w16cid:durableId="933826711">
    <w:abstractNumId w:val="5"/>
  </w:num>
  <w:num w:numId="10" w16cid:durableId="1836874153">
    <w:abstractNumId w:val="2"/>
  </w:num>
  <w:num w:numId="11" w16cid:durableId="79983505">
    <w:abstractNumId w:val="20"/>
  </w:num>
  <w:num w:numId="12" w16cid:durableId="1421174907">
    <w:abstractNumId w:val="4"/>
  </w:num>
  <w:num w:numId="13" w16cid:durableId="982781170">
    <w:abstractNumId w:val="12"/>
  </w:num>
  <w:num w:numId="14" w16cid:durableId="186647235">
    <w:abstractNumId w:val="0"/>
  </w:num>
  <w:num w:numId="15" w16cid:durableId="261766079">
    <w:abstractNumId w:val="22"/>
  </w:num>
  <w:num w:numId="16" w16cid:durableId="602225528">
    <w:abstractNumId w:val="11"/>
  </w:num>
  <w:num w:numId="17" w16cid:durableId="1402633309">
    <w:abstractNumId w:val="14"/>
  </w:num>
  <w:num w:numId="18" w16cid:durableId="277757348">
    <w:abstractNumId w:val="1"/>
  </w:num>
  <w:num w:numId="19" w16cid:durableId="1573152907">
    <w:abstractNumId w:val="21"/>
  </w:num>
  <w:num w:numId="20" w16cid:durableId="1013651083">
    <w:abstractNumId w:val="9"/>
  </w:num>
  <w:num w:numId="21" w16cid:durableId="81801238">
    <w:abstractNumId w:val="10"/>
  </w:num>
  <w:num w:numId="22" w16cid:durableId="94372139">
    <w:abstractNumId w:val="19"/>
  </w:num>
  <w:num w:numId="23" w16cid:durableId="1288462480">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3940"/>
    <w:rsid w:val="00004BF2"/>
    <w:rsid w:val="00006B54"/>
    <w:rsid w:val="00011B57"/>
    <w:rsid w:val="000120A3"/>
    <w:rsid w:val="00014177"/>
    <w:rsid w:val="00016FA7"/>
    <w:rsid w:val="0002246E"/>
    <w:rsid w:val="00025B12"/>
    <w:rsid w:val="00030041"/>
    <w:rsid w:val="00030CB5"/>
    <w:rsid w:val="00032104"/>
    <w:rsid w:val="00035F6E"/>
    <w:rsid w:val="00043BAC"/>
    <w:rsid w:val="00051E4D"/>
    <w:rsid w:val="00051F7A"/>
    <w:rsid w:val="00053ED3"/>
    <w:rsid w:val="00055137"/>
    <w:rsid w:val="00060E28"/>
    <w:rsid w:val="00067FC3"/>
    <w:rsid w:val="00070B2B"/>
    <w:rsid w:val="0007230F"/>
    <w:rsid w:val="00072645"/>
    <w:rsid w:val="00073D9C"/>
    <w:rsid w:val="00074446"/>
    <w:rsid w:val="000754E8"/>
    <w:rsid w:val="00077C0C"/>
    <w:rsid w:val="00080172"/>
    <w:rsid w:val="00081F68"/>
    <w:rsid w:val="00082A7E"/>
    <w:rsid w:val="00085773"/>
    <w:rsid w:val="00087136"/>
    <w:rsid w:val="000A5BE9"/>
    <w:rsid w:val="000B2F22"/>
    <w:rsid w:val="000B5FEF"/>
    <w:rsid w:val="000B6B0F"/>
    <w:rsid w:val="000B7B0E"/>
    <w:rsid w:val="000C431A"/>
    <w:rsid w:val="000C6CEA"/>
    <w:rsid w:val="000D1FBE"/>
    <w:rsid w:val="000D237D"/>
    <w:rsid w:val="000D269A"/>
    <w:rsid w:val="000D77DD"/>
    <w:rsid w:val="000E10B1"/>
    <w:rsid w:val="000E32E6"/>
    <w:rsid w:val="000F04A5"/>
    <w:rsid w:val="000F3591"/>
    <w:rsid w:val="000F41C6"/>
    <w:rsid w:val="000F6EBA"/>
    <w:rsid w:val="00101BE0"/>
    <w:rsid w:val="001054C0"/>
    <w:rsid w:val="001062A3"/>
    <w:rsid w:val="001100D5"/>
    <w:rsid w:val="00112721"/>
    <w:rsid w:val="00121235"/>
    <w:rsid w:val="00122AFB"/>
    <w:rsid w:val="0012565A"/>
    <w:rsid w:val="00135311"/>
    <w:rsid w:val="00140F3C"/>
    <w:rsid w:val="001435D0"/>
    <w:rsid w:val="00146B8D"/>
    <w:rsid w:val="00151104"/>
    <w:rsid w:val="00161E81"/>
    <w:rsid w:val="00172348"/>
    <w:rsid w:val="00177F19"/>
    <w:rsid w:val="00190CCF"/>
    <w:rsid w:val="00192157"/>
    <w:rsid w:val="0019347E"/>
    <w:rsid w:val="00195B46"/>
    <w:rsid w:val="001A3E3F"/>
    <w:rsid w:val="001B0B80"/>
    <w:rsid w:val="001B3236"/>
    <w:rsid w:val="001B588D"/>
    <w:rsid w:val="001B76D5"/>
    <w:rsid w:val="001C0F31"/>
    <w:rsid w:val="001C2993"/>
    <w:rsid w:val="001C3940"/>
    <w:rsid w:val="001C6C95"/>
    <w:rsid w:val="001D2868"/>
    <w:rsid w:val="001D3268"/>
    <w:rsid w:val="001D5F87"/>
    <w:rsid w:val="001E1509"/>
    <w:rsid w:val="001E5E77"/>
    <w:rsid w:val="001F1C06"/>
    <w:rsid w:val="001F347B"/>
    <w:rsid w:val="00200446"/>
    <w:rsid w:val="00200F7F"/>
    <w:rsid w:val="0020174B"/>
    <w:rsid w:val="002039E6"/>
    <w:rsid w:val="002226FF"/>
    <w:rsid w:val="00231E09"/>
    <w:rsid w:val="002377D6"/>
    <w:rsid w:val="002463FF"/>
    <w:rsid w:val="00257918"/>
    <w:rsid w:val="0025792C"/>
    <w:rsid w:val="00260AAC"/>
    <w:rsid w:val="00260AE5"/>
    <w:rsid w:val="00265DAD"/>
    <w:rsid w:val="0027124C"/>
    <w:rsid w:val="00271635"/>
    <w:rsid w:val="00273164"/>
    <w:rsid w:val="002742AC"/>
    <w:rsid w:val="00277F01"/>
    <w:rsid w:val="002851BF"/>
    <w:rsid w:val="002A4CB4"/>
    <w:rsid w:val="002C7092"/>
    <w:rsid w:val="002C7489"/>
    <w:rsid w:val="002D1BE4"/>
    <w:rsid w:val="002D3C5B"/>
    <w:rsid w:val="002D4CD4"/>
    <w:rsid w:val="002D6C65"/>
    <w:rsid w:val="002E68B9"/>
    <w:rsid w:val="002E6D04"/>
    <w:rsid w:val="00304331"/>
    <w:rsid w:val="0030725C"/>
    <w:rsid w:val="00316C23"/>
    <w:rsid w:val="00325B75"/>
    <w:rsid w:val="00335250"/>
    <w:rsid w:val="003377B9"/>
    <w:rsid w:val="003418BF"/>
    <w:rsid w:val="0034611A"/>
    <w:rsid w:val="00353A72"/>
    <w:rsid w:val="0035596F"/>
    <w:rsid w:val="003636DE"/>
    <w:rsid w:val="00370E82"/>
    <w:rsid w:val="00385048"/>
    <w:rsid w:val="003877FD"/>
    <w:rsid w:val="00390BF5"/>
    <w:rsid w:val="003A0D5F"/>
    <w:rsid w:val="003A39B9"/>
    <w:rsid w:val="003A5551"/>
    <w:rsid w:val="003A5B70"/>
    <w:rsid w:val="003B5A26"/>
    <w:rsid w:val="003B7423"/>
    <w:rsid w:val="003C156F"/>
    <w:rsid w:val="003D4FC2"/>
    <w:rsid w:val="003E1B9C"/>
    <w:rsid w:val="003E2EB8"/>
    <w:rsid w:val="003E46BF"/>
    <w:rsid w:val="003F5297"/>
    <w:rsid w:val="004016AA"/>
    <w:rsid w:val="00402D51"/>
    <w:rsid w:val="00404CCD"/>
    <w:rsid w:val="0041208D"/>
    <w:rsid w:val="00417077"/>
    <w:rsid w:val="00417308"/>
    <w:rsid w:val="00421DD6"/>
    <w:rsid w:val="00446ECA"/>
    <w:rsid w:val="00454FB8"/>
    <w:rsid w:val="0046276A"/>
    <w:rsid w:val="00463694"/>
    <w:rsid w:val="0047017A"/>
    <w:rsid w:val="00471885"/>
    <w:rsid w:val="00472452"/>
    <w:rsid w:val="00474866"/>
    <w:rsid w:val="004802DC"/>
    <w:rsid w:val="0048081F"/>
    <w:rsid w:val="0048501E"/>
    <w:rsid w:val="00493360"/>
    <w:rsid w:val="00496B6D"/>
    <w:rsid w:val="004A1DCB"/>
    <w:rsid w:val="004A4644"/>
    <w:rsid w:val="004B4B1E"/>
    <w:rsid w:val="004B650D"/>
    <w:rsid w:val="004C179C"/>
    <w:rsid w:val="004C5258"/>
    <w:rsid w:val="004C57CA"/>
    <w:rsid w:val="004F45AB"/>
    <w:rsid w:val="00504768"/>
    <w:rsid w:val="0051305E"/>
    <w:rsid w:val="005166AD"/>
    <w:rsid w:val="005225EA"/>
    <w:rsid w:val="00526535"/>
    <w:rsid w:val="00527478"/>
    <w:rsid w:val="00537CE3"/>
    <w:rsid w:val="00540852"/>
    <w:rsid w:val="00550434"/>
    <w:rsid w:val="0055604C"/>
    <w:rsid w:val="005572DB"/>
    <w:rsid w:val="00561331"/>
    <w:rsid w:val="00565D7B"/>
    <w:rsid w:val="0057190B"/>
    <w:rsid w:val="00574C41"/>
    <w:rsid w:val="005863DB"/>
    <w:rsid w:val="005877DA"/>
    <w:rsid w:val="00595754"/>
    <w:rsid w:val="005A3E43"/>
    <w:rsid w:val="005A41F5"/>
    <w:rsid w:val="005A72AB"/>
    <w:rsid w:val="005A7372"/>
    <w:rsid w:val="005A7C43"/>
    <w:rsid w:val="005B4C80"/>
    <w:rsid w:val="005B668D"/>
    <w:rsid w:val="005C4B0B"/>
    <w:rsid w:val="005C5961"/>
    <w:rsid w:val="005E6081"/>
    <w:rsid w:val="005F4DEA"/>
    <w:rsid w:val="005F6B68"/>
    <w:rsid w:val="0060152C"/>
    <w:rsid w:val="00614ADA"/>
    <w:rsid w:val="006172A5"/>
    <w:rsid w:val="00623771"/>
    <w:rsid w:val="0063320C"/>
    <w:rsid w:val="0063480E"/>
    <w:rsid w:val="006374BF"/>
    <w:rsid w:val="00644555"/>
    <w:rsid w:val="0065217D"/>
    <w:rsid w:val="006522A0"/>
    <w:rsid w:val="006537E3"/>
    <w:rsid w:val="006549B9"/>
    <w:rsid w:val="00655108"/>
    <w:rsid w:val="00656AF9"/>
    <w:rsid w:val="006611A1"/>
    <w:rsid w:val="0066477D"/>
    <w:rsid w:val="00665887"/>
    <w:rsid w:val="0068070F"/>
    <w:rsid w:val="00681286"/>
    <w:rsid w:val="00681986"/>
    <w:rsid w:val="006821A4"/>
    <w:rsid w:val="00684669"/>
    <w:rsid w:val="00685553"/>
    <w:rsid w:val="006917AF"/>
    <w:rsid w:val="00696EE6"/>
    <w:rsid w:val="006A1D29"/>
    <w:rsid w:val="006A1E25"/>
    <w:rsid w:val="006A6B4A"/>
    <w:rsid w:val="006B1FDF"/>
    <w:rsid w:val="006B424A"/>
    <w:rsid w:val="006C116B"/>
    <w:rsid w:val="006C2166"/>
    <w:rsid w:val="006C2A21"/>
    <w:rsid w:val="006C3ADF"/>
    <w:rsid w:val="006C65AE"/>
    <w:rsid w:val="006D2364"/>
    <w:rsid w:val="006D2D40"/>
    <w:rsid w:val="006D3FDB"/>
    <w:rsid w:val="006D5D8C"/>
    <w:rsid w:val="006D6794"/>
    <w:rsid w:val="006E271D"/>
    <w:rsid w:val="006E3BD8"/>
    <w:rsid w:val="006F04E7"/>
    <w:rsid w:val="006F15DB"/>
    <w:rsid w:val="006F4103"/>
    <w:rsid w:val="0070079C"/>
    <w:rsid w:val="007067F3"/>
    <w:rsid w:val="007313CE"/>
    <w:rsid w:val="007323F5"/>
    <w:rsid w:val="007409AF"/>
    <w:rsid w:val="007443F6"/>
    <w:rsid w:val="00745117"/>
    <w:rsid w:val="0074663E"/>
    <w:rsid w:val="00754A6A"/>
    <w:rsid w:val="0076015E"/>
    <w:rsid w:val="00763234"/>
    <w:rsid w:val="0077280C"/>
    <w:rsid w:val="00775286"/>
    <w:rsid w:val="0077546D"/>
    <w:rsid w:val="0077565A"/>
    <w:rsid w:val="007809FF"/>
    <w:rsid w:val="00782BA4"/>
    <w:rsid w:val="00785D3D"/>
    <w:rsid w:val="00787CE5"/>
    <w:rsid w:val="00790111"/>
    <w:rsid w:val="00793DB1"/>
    <w:rsid w:val="00796232"/>
    <w:rsid w:val="007A0BBF"/>
    <w:rsid w:val="007A33CF"/>
    <w:rsid w:val="007A6B7E"/>
    <w:rsid w:val="007B076C"/>
    <w:rsid w:val="007B381B"/>
    <w:rsid w:val="007B38D9"/>
    <w:rsid w:val="007B4E89"/>
    <w:rsid w:val="007B50C5"/>
    <w:rsid w:val="007B5298"/>
    <w:rsid w:val="007B6D11"/>
    <w:rsid w:val="007C3984"/>
    <w:rsid w:val="007C6DD0"/>
    <w:rsid w:val="007C7A8B"/>
    <w:rsid w:val="007D42EB"/>
    <w:rsid w:val="007D55E2"/>
    <w:rsid w:val="007D7AE0"/>
    <w:rsid w:val="007E1F1F"/>
    <w:rsid w:val="007E1FFA"/>
    <w:rsid w:val="007E64AD"/>
    <w:rsid w:val="007E6D11"/>
    <w:rsid w:val="007F33E4"/>
    <w:rsid w:val="007F43B2"/>
    <w:rsid w:val="007F45B2"/>
    <w:rsid w:val="007F4967"/>
    <w:rsid w:val="007F4970"/>
    <w:rsid w:val="007F7343"/>
    <w:rsid w:val="00801F55"/>
    <w:rsid w:val="00802C3A"/>
    <w:rsid w:val="00805B0B"/>
    <w:rsid w:val="008101A6"/>
    <w:rsid w:val="00817BCF"/>
    <w:rsid w:val="00821B30"/>
    <w:rsid w:val="00821C34"/>
    <w:rsid w:val="00845776"/>
    <w:rsid w:val="008541BA"/>
    <w:rsid w:val="00854899"/>
    <w:rsid w:val="00857C7B"/>
    <w:rsid w:val="00861CA7"/>
    <w:rsid w:val="0086223B"/>
    <w:rsid w:val="00865595"/>
    <w:rsid w:val="0086595A"/>
    <w:rsid w:val="00865B87"/>
    <w:rsid w:val="00866FB7"/>
    <w:rsid w:val="008675EE"/>
    <w:rsid w:val="00873AEA"/>
    <w:rsid w:val="0089019E"/>
    <w:rsid w:val="00894332"/>
    <w:rsid w:val="00896E51"/>
    <w:rsid w:val="008B55A0"/>
    <w:rsid w:val="008C13F1"/>
    <w:rsid w:val="008C2130"/>
    <w:rsid w:val="008C4112"/>
    <w:rsid w:val="008E35AD"/>
    <w:rsid w:val="008E3BD7"/>
    <w:rsid w:val="008E5C9C"/>
    <w:rsid w:val="008E721A"/>
    <w:rsid w:val="008E7F25"/>
    <w:rsid w:val="008F4E49"/>
    <w:rsid w:val="008F5476"/>
    <w:rsid w:val="00906C2F"/>
    <w:rsid w:val="00907BB3"/>
    <w:rsid w:val="00914271"/>
    <w:rsid w:val="00916555"/>
    <w:rsid w:val="00917CF0"/>
    <w:rsid w:val="009211AA"/>
    <w:rsid w:val="00924331"/>
    <w:rsid w:val="00924A38"/>
    <w:rsid w:val="00932E4B"/>
    <w:rsid w:val="00933E6B"/>
    <w:rsid w:val="00934237"/>
    <w:rsid w:val="009444AD"/>
    <w:rsid w:val="00946A56"/>
    <w:rsid w:val="009530DF"/>
    <w:rsid w:val="00953999"/>
    <w:rsid w:val="00954308"/>
    <w:rsid w:val="00956BBF"/>
    <w:rsid w:val="00961AB3"/>
    <w:rsid w:val="00962D4A"/>
    <w:rsid w:val="00970ACF"/>
    <w:rsid w:val="009721A5"/>
    <w:rsid w:val="009757DB"/>
    <w:rsid w:val="00981D33"/>
    <w:rsid w:val="00985B22"/>
    <w:rsid w:val="009942AA"/>
    <w:rsid w:val="00996AC8"/>
    <w:rsid w:val="009A0B94"/>
    <w:rsid w:val="009A56F7"/>
    <w:rsid w:val="009C4DC2"/>
    <w:rsid w:val="009D1F2C"/>
    <w:rsid w:val="009E4C8F"/>
    <w:rsid w:val="009F0291"/>
    <w:rsid w:val="009F346C"/>
    <w:rsid w:val="009F35C2"/>
    <w:rsid w:val="009F3E75"/>
    <w:rsid w:val="009F4C23"/>
    <w:rsid w:val="00A1066E"/>
    <w:rsid w:val="00A10D64"/>
    <w:rsid w:val="00A214E3"/>
    <w:rsid w:val="00A274D2"/>
    <w:rsid w:val="00A27D17"/>
    <w:rsid w:val="00A3454B"/>
    <w:rsid w:val="00A37EC7"/>
    <w:rsid w:val="00A41692"/>
    <w:rsid w:val="00A42D87"/>
    <w:rsid w:val="00A507BE"/>
    <w:rsid w:val="00A52D58"/>
    <w:rsid w:val="00A5613F"/>
    <w:rsid w:val="00A6427F"/>
    <w:rsid w:val="00A64633"/>
    <w:rsid w:val="00A65916"/>
    <w:rsid w:val="00A66611"/>
    <w:rsid w:val="00A66C6B"/>
    <w:rsid w:val="00A7029A"/>
    <w:rsid w:val="00A711DA"/>
    <w:rsid w:val="00A74CAA"/>
    <w:rsid w:val="00A75A72"/>
    <w:rsid w:val="00A835A5"/>
    <w:rsid w:val="00A84A9C"/>
    <w:rsid w:val="00A86A71"/>
    <w:rsid w:val="00A92E7C"/>
    <w:rsid w:val="00AA17AB"/>
    <w:rsid w:val="00AA26A6"/>
    <w:rsid w:val="00AA58DB"/>
    <w:rsid w:val="00AB06C0"/>
    <w:rsid w:val="00AB1E32"/>
    <w:rsid w:val="00AC033B"/>
    <w:rsid w:val="00AC7639"/>
    <w:rsid w:val="00AE3728"/>
    <w:rsid w:val="00AE5697"/>
    <w:rsid w:val="00AF1A85"/>
    <w:rsid w:val="00AF2D96"/>
    <w:rsid w:val="00AF7F81"/>
    <w:rsid w:val="00B00E53"/>
    <w:rsid w:val="00B03A65"/>
    <w:rsid w:val="00B07FA6"/>
    <w:rsid w:val="00B31F75"/>
    <w:rsid w:val="00B36CA5"/>
    <w:rsid w:val="00B3770E"/>
    <w:rsid w:val="00B4453F"/>
    <w:rsid w:val="00B450F4"/>
    <w:rsid w:val="00B47E01"/>
    <w:rsid w:val="00B531A5"/>
    <w:rsid w:val="00B537CF"/>
    <w:rsid w:val="00B60D75"/>
    <w:rsid w:val="00B6415B"/>
    <w:rsid w:val="00B64671"/>
    <w:rsid w:val="00B71297"/>
    <w:rsid w:val="00B94A0F"/>
    <w:rsid w:val="00B94CDC"/>
    <w:rsid w:val="00B952A2"/>
    <w:rsid w:val="00B97B7D"/>
    <w:rsid w:val="00BA016D"/>
    <w:rsid w:val="00BA16D3"/>
    <w:rsid w:val="00BA395B"/>
    <w:rsid w:val="00BA4FC7"/>
    <w:rsid w:val="00BA5A9B"/>
    <w:rsid w:val="00BB2EE9"/>
    <w:rsid w:val="00BB32C2"/>
    <w:rsid w:val="00BC0CDA"/>
    <w:rsid w:val="00BC2CDA"/>
    <w:rsid w:val="00BD73E3"/>
    <w:rsid w:val="00BE5504"/>
    <w:rsid w:val="00BE5FDC"/>
    <w:rsid w:val="00C01FC4"/>
    <w:rsid w:val="00C04B2F"/>
    <w:rsid w:val="00C07523"/>
    <w:rsid w:val="00C16462"/>
    <w:rsid w:val="00C175FC"/>
    <w:rsid w:val="00C17608"/>
    <w:rsid w:val="00C2226F"/>
    <w:rsid w:val="00C31050"/>
    <w:rsid w:val="00C31289"/>
    <w:rsid w:val="00C46628"/>
    <w:rsid w:val="00C55298"/>
    <w:rsid w:val="00C61275"/>
    <w:rsid w:val="00C67BCE"/>
    <w:rsid w:val="00C7665C"/>
    <w:rsid w:val="00C83D97"/>
    <w:rsid w:val="00C91BC1"/>
    <w:rsid w:val="00C9372E"/>
    <w:rsid w:val="00CA2AAD"/>
    <w:rsid w:val="00CA7286"/>
    <w:rsid w:val="00CC6E0D"/>
    <w:rsid w:val="00CC7F16"/>
    <w:rsid w:val="00CD2253"/>
    <w:rsid w:val="00CD2FA1"/>
    <w:rsid w:val="00CE1A18"/>
    <w:rsid w:val="00CE1C63"/>
    <w:rsid w:val="00CE24BD"/>
    <w:rsid w:val="00CE387F"/>
    <w:rsid w:val="00CE3CD0"/>
    <w:rsid w:val="00CE771C"/>
    <w:rsid w:val="00CF66B4"/>
    <w:rsid w:val="00CF79B9"/>
    <w:rsid w:val="00D077E2"/>
    <w:rsid w:val="00D10145"/>
    <w:rsid w:val="00D12444"/>
    <w:rsid w:val="00D17029"/>
    <w:rsid w:val="00D17A50"/>
    <w:rsid w:val="00D233D2"/>
    <w:rsid w:val="00D2578E"/>
    <w:rsid w:val="00D42522"/>
    <w:rsid w:val="00D45668"/>
    <w:rsid w:val="00D4652F"/>
    <w:rsid w:val="00D52098"/>
    <w:rsid w:val="00D576EE"/>
    <w:rsid w:val="00D62A96"/>
    <w:rsid w:val="00D668B1"/>
    <w:rsid w:val="00D71611"/>
    <w:rsid w:val="00D72D3C"/>
    <w:rsid w:val="00D768A4"/>
    <w:rsid w:val="00D77868"/>
    <w:rsid w:val="00D92B7B"/>
    <w:rsid w:val="00DA3F03"/>
    <w:rsid w:val="00DA441F"/>
    <w:rsid w:val="00DB48E7"/>
    <w:rsid w:val="00DC024A"/>
    <w:rsid w:val="00DC316B"/>
    <w:rsid w:val="00DC376F"/>
    <w:rsid w:val="00DE492B"/>
    <w:rsid w:val="00DF27A3"/>
    <w:rsid w:val="00E04E3B"/>
    <w:rsid w:val="00E070E8"/>
    <w:rsid w:val="00E15AA2"/>
    <w:rsid w:val="00E20BAA"/>
    <w:rsid w:val="00E20C8F"/>
    <w:rsid w:val="00E22C5E"/>
    <w:rsid w:val="00E244AC"/>
    <w:rsid w:val="00E25179"/>
    <w:rsid w:val="00E318C3"/>
    <w:rsid w:val="00E33E2E"/>
    <w:rsid w:val="00E34389"/>
    <w:rsid w:val="00E37DC3"/>
    <w:rsid w:val="00E4402A"/>
    <w:rsid w:val="00E45630"/>
    <w:rsid w:val="00E52F38"/>
    <w:rsid w:val="00E64518"/>
    <w:rsid w:val="00E75A1F"/>
    <w:rsid w:val="00E76CB0"/>
    <w:rsid w:val="00E77720"/>
    <w:rsid w:val="00E82CC7"/>
    <w:rsid w:val="00E8390D"/>
    <w:rsid w:val="00E842FA"/>
    <w:rsid w:val="00E85277"/>
    <w:rsid w:val="00E93E1A"/>
    <w:rsid w:val="00E94C6B"/>
    <w:rsid w:val="00EA6E40"/>
    <w:rsid w:val="00EB26A5"/>
    <w:rsid w:val="00EB30EF"/>
    <w:rsid w:val="00EC4DF8"/>
    <w:rsid w:val="00EC58E4"/>
    <w:rsid w:val="00EC77B6"/>
    <w:rsid w:val="00ED383D"/>
    <w:rsid w:val="00ED4566"/>
    <w:rsid w:val="00ED7A0B"/>
    <w:rsid w:val="00EF2D3C"/>
    <w:rsid w:val="00EF3B45"/>
    <w:rsid w:val="00EF7A57"/>
    <w:rsid w:val="00F05D1C"/>
    <w:rsid w:val="00F10D39"/>
    <w:rsid w:val="00F22991"/>
    <w:rsid w:val="00F31467"/>
    <w:rsid w:val="00F405CE"/>
    <w:rsid w:val="00F4211E"/>
    <w:rsid w:val="00F46DF0"/>
    <w:rsid w:val="00F5405C"/>
    <w:rsid w:val="00F55E47"/>
    <w:rsid w:val="00F710D8"/>
    <w:rsid w:val="00F80843"/>
    <w:rsid w:val="00FA11EB"/>
    <w:rsid w:val="00FA224B"/>
    <w:rsid w:val="00FB4D07"/>
    <w:rsid w:val="00FC50D1"/>
    <w:rsid w:val="00FC6ED6"/>
    <w:rsid w:val="00FC7A50"/>
    <w:rsid w:val="00FE2A9B"/>
    <w:rsid w:val="00FE3435"/>
    <w:rsid w:val="00FE4C0E"/>
    <w:rsid w:val="00FF18C4"/>
    <w:rsid w:val="00FF1D81"/>
    <w:rsid w:val="00FF27BD"/>
    <w:rsid w:val="00FF57CB"/>
    <w:rsid w:val="00FF69E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E0DFB7"/>
  <w15:docId w15:val="{4F2490AD-99E3-4D07-A195-AD48B0524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940"/>
  </w:style>
  <w:style w:type="paragraph" w:styleId="Heading1">
    <w:name w:val="heading 1"/>
    <w:basedOn w:val="Normal"/>
    <w:next w:val="Normal"/>
    <w:link w:val="Heading1Char"/>
    <w:uiPriority w:val="9"/>
    <w:qFormat/>
    <w:rsid w:val="00082A7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52653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52653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C3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C3940"/>
    <w:pPr>
      <w:ind w:left="720"/>
      <w:contextualSpacing/>
    </w:pPr>
  </w:style>
  <w:style w:type="character" w:styleId="CommentReference">
    <w:name w:val="annotation reference"/>
    <w:basedOn w:val="DefaultParagraphFont"/>
    <w:uiPriority w:val="99"/>
    <w:semiHidden/>
    <w:unhideWhenUsed/>
    <w:rsid w:val="00970ACF"/>
    <w:rPr>
      <w:sz w:val="16"/>
      <w:szCs w:val="16"/>
    </w:rPr>
  </w:style>
  <w:style w:type="paragraph" w:styleId="CommentText">
    <w:name w:val="annotation text"/>
    <w:basedOn w:val="Normal"/>
    <w:link w:val="CommentTextChar"/>
    <w:uiPriority w:val="99"/>
    <w:semiHidden/>
    <w:unhideWhenUsed/>
    <w:rsid w:val="00970ACF"/>
    <w:pPr>
      <w:spacing w:line="240" w:lineRule="auto"/>
    </w:pPr>
    <w:rPr>
      <w:sz w:val="20"/>
      <w:szCs w:val="20"/>
    </w:rPr>
  </w:style>
  <w:style w:type="character" w:customStyle="1" w:styleId="CommentTextChar">
    <w:name w:val="Comment Text Char"/>
    <w:basedOn w:val="DefaultParagraphFont"/>
    <w:link w:val="CommentText"/>
    <w:uiPriority w:val="99"/>
    <w:semiHidden/>
    <w:rsid w:val="00970ACF"/>
    <w:rPr>
      <w:sz w:val="20"/>
      <w:szCs w:val="20"/>
    </w:rPr>
  </w:style>
  <w:style w:type="paragraph" w:styleId="CommentSubject">
    <w:name w:val="annotation subject"/>
    <w:basedOn w:val="CommentText"/>
    <w:next w:val="CommentText"/>
    <w:link w:val="CommentSubjectChar"/>
    <w:uiPriority w:val="99"/>
    <w:semiHidden/>
    <w:unhideWhenUsed/>
    <w:rsid w:val="00970ACF"/>
    <w:rPr>
      <w:b/>
      <w:bCs/>
    </w:rPr>
  </w:style>
  <w:style w:type="character" w:customStyle="1" w:styleId="CommentSubjectChar">
    <w:name w:val="Comment Subject Char"/>
    <w:basedOn w:val="CommentTextChar"/>
    <w:link w:val="CommentSubject"/>
    <w:uiPriority w:val="99"/>
    <w:semiHidden/>
    <w:rsid w:val="00970ACF"/>
    <w:rPr>
      <w:b/>
      <w:bCs/>
      <w:sz w:val="20"/>
      <w:szCs w:val="20"/>
    </w:rPr>
  </w:style>
  <w:style w:type="paragraph" w:styleId="BalloonText">
    <w:name w:val="Balloon Text"/>
    <w:basedOn w:val="Normal"/>
    <w:link w:val="BalloonTextChar"/>
    <w:uiPriority w:val="99"/>
    <w:semiHidden/>
    <w:unhideWhenUsed/>
    <w:rsid w:val="00970A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CF"/>
    <w:rPr>
      <w:rFonts w:ascii="Tahoma" w:hAnsi="Tahoma" w:cs="Tahoma"/>
      <w:sz w:val="16"/>
      <w:szCs w:val="16"/>
    </w:rPr>
  </w:style>
  <w:style w:type="character" w:customStyle="1" w:styleId="Heading1Char">
    <w:name w:val="Heading 1 Char"/>
    <w:basedOn w:val="DefaultParagraphFont"/>
    <w:link w:val="Heading1"/>
    <w:uiPriority w:val="9"/>
    <w:rsid w:val="00082A7E"/>
    <w:rPr>
      <w:rFonts w:asciiTheme="majorHAnsi" w:eastAsiaTheme="majorEastAsia" w:hAnsiTheme="majorHAnsi" w:cstheme="majorBidi"/>
      <w:color w:val="365F91" w:themeColor="accent1" w:themeShade="BF"/>
      <w:sz w:val="32"/>
      <w:szCs w:val="32"/>
    </w:rPr>
  </w:style>
  <w:style w:type="paragraph" w:styleId="Revision">
    <w:name w:val="Revision"/>
    <w:hidden/>
    <w:uiPriority w:val="99"/>
    <w:semiHidden/>
    <w:rsid w:val="00845776"/>
    <w:pPr>
      <w:spacing w:after="0" w:line="240" w:lineRule="auto"/>
    </w:pPr>
  </w:style>
  <w:style w:type="paragraph" w:styleId="Header">
    <w:name w:val="header"/>
    <w:basedOn w:val="Normal"/>
    <w:link w:val="HeaderChar"/>
    <w:uiPriority w:val="99"/>
    <w:unhideWhenUsed/>
    <w:rsid w:val="0048081F"/>
    <w:pPr>
      <w:tabs>
        <w:tab w:val="center" w:pos="4419"/>
        <w:tab w:val="right" w:pos="8838"/>
      </w:tabs>
      <w:spacing w:after="0" w:line="240" w:lineRule="auto"/>
    </w:pPr>
  </w:style>
  <w:style w:type="character" w:customStyle="1" w:styleId="HeaderChar">
    <w:name w:val="Header Char"/>
    <w:basedOn w:val="DefaultParagraphFont"/>
    <w:link w:val="Header"/>
    <w:uiPriority w:val="99"/>
    <w:rsid w:val="0048081F"/>
  </w:style>
  <w:style w:type="paragraph" w:styleId="Footer">
    <w:name w:val="footer"/>
    <w:basedOn w:val="Normal"/>
    <w:link w:val="FooterChar"/>
    <w:uiPriority w:val="99"/>
    <w:unhideWhenUsed/>
    <w:rsid w:val="0048081F"/>
    <w:pPr>
      <w:tabs>
        <w:tab w:val="center" w:pos="4419"/>
        <w:tab w:val="right" w:pos="8838"/>
      </w:tabs>
      <w:spacing w:after="0" w:line="240" w:lineRule="auto"/>
    </w:pPr>
  </w:style>
  <w:style w:type="character" w:customStyle="1" w:styleId="FooterChar">
    <w:name w:val="Footer Char"/>
    <w:basedOn w:val="DefaultParagraphFont"/>
    <w:link w:val="Footer"/>
    <w:uiPriority w:val="99"/>
    <w:rsid w:val="0048081F"/>
  </w:style>
  <w:style w:type="table" w:customStyle="1" w:styleId="Tabladelista3-nfasis11">
    <w:name w:val="Tabla de lista 3 - Énfasis 11"/>
    <w:basedOn w:val="TableNormal"/>
    <w:uiPriority w:val="48"/>
    <w:rsid w:val="00A64633"/>
    <w:pPr>
      <w:spacing w:after="0" w:line="240" w:lineRule="auto"/>
    </w:pPr>
    <w:rPr>
      <w:lang w:val="es-E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Hyperlink">
    <w:name w:val="Hyperlink"/>
    <w:basedOn w:val="DefaultParagraphFont"/>
    <w:uiPriority w:val="99"/>
    <w:unhideWhenUsed/>
    <w:rsid w:val="00A64633"/>
    <w:rPr>
      <w:color w:val="0000FF" w:themeColor="hyperlink"/>
      <w:u w:val="single"/>
    </w:rPr>
  </w:style>
  <w:style w:type="table" w:customStyle="1" w:styleId="Tablaconcuadrcula3">
    <w:name w:val="Tabla con cuadrícula3"/>
    <w:basedOn w:val="TableNormal"/>
    <w:next w:val="TableGrid"/>
    <w:uiPriority w:val="39"/>
    <w:rsid w:val="00985B22"/>
    <w:pPr>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5B22"/>
    <w:pPr>
      <w:autoSpaceDE w:val="0"/>
      <w:autoSpaceDN w:val="0"/>
      <w:adjustRightInd w:val="0"/>
      <w:spacing w:after="0" w:line="240" w:lineRule="auto"/>
    </w:pPr>
    <w:rPr>
      <w:rFonts w:ascii="Arial" w:hAnsi="Arial" w:cs="Arial"/>
      <w:color w:val="000000"/>
      <w:sz w:val="24"/>
      <w:szCs w:val="24"/>
    </w:rPr>
  </w:style>
  <w:style w:type="table" w:customStyle="1" w:styleId="Tablaconcuadrcula1">
    <w:name w:val="Tabla con cuadrícula1"/>
    <w:basedOn w:val="TableNormal"/>
    <w:next w:val="TableGrid"/>
    <w:uiPriority w:val="59"/>
    <w:rsid w:val="00E75A1F"/>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nhideWhenUsed/>
    <w:rsid w:val="00474866"/>
    <w:pPr>
      <w:spacing w:after="120" w:line="480" w:lineRule="auto"/>
      <w:jc w:val="both"/>
    </w:pPr>
    <w:rPr>
      <w:lang w:val="es-ES"/>
    </w:rPr>
  </w:style>
  <w:style w:type="character" w:customStyle="1" w:styleId="BodyText2Char">
    <w:name w:val="Body Text 2 Char"/>
    <w:basedOn w:val="DefaultParagraphFont"/>
    <w:link w:val="BodyText2"/>
    <w:rsid w:val="00474866"/>
    <w:rPr>
      <w:lang w:val="es-ES"/>
    </w:rPr>
  </w:style>
  <w:style w:type="character" w:customStyle="1" w:styleId="Heading3Char">
    <w:name w:val="Heading 3 Char"/>
    <w:basedOn w:val="DefaultParagraphFont"/>
    <w:link w:val="Heading3"/>
    <w:uiPriority w:val="9"/>
    <w:semiHidden/>
    <w:rsid w:val="00526535"/>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526535"/>
    <w:rPr>
      <w:rFonts w:asciiTheme="majorHAnsi" w:eastAsiaTheme="majorEastAsia" w:hAnsiTheme="majorHAnsi" w:cstheme="majorBidi"/>
      <w:i/>
      <w:iCs/>
      <w:color w:val="365F91" w:themeColor="accent1" w:themeShade="BF"/>
    </w:rPr>
  </w:style>
  <w:style w:type="paragraph" w:styleId="FootnoteText">
    <w:name w:val="footnote text"/>
    <w:basedOn w:val="Normal"/>
    <w:link w:val="FootnoteTextChar"/>
    <w:uiPriority w:val="99"/>
    <w:semiHidden/>
    <w:unhideWhenUsed/>
    <w:rsid w:val="0065217D"/>
    <w:pPr>
      <w:spacing w:after="0" w:line="240" w:lineRule="auto"/>
    </w:pPr>
    <w:rPr>
      <w:sz w:val="20"/>
      <w:szCs w:val="20"/>
      <w:lang w:val="es-ES"/>
    </w:rPr>
  </w:style>
  <w:style w:type="character" w:customStyle="1" w:styleId="FootnoteTextChar">
    <w:name w:val="Footnote Text Char"/>
    <w:basedOn w:val="DefaultParagraphFont"/>
    <w:link w:val="FootnoteText"/>
    <w:uiPriority w:val="99"/>
    <w:semiHidden/>
    <w:rsid w:val="0065217D"/>
    <w:rPr>
      <w:sz w:val="20"/>
      <w:szCs w:val="20"/>
      <w:lang w:val="es-ES"/>
    </w:rPr>
  </w:style>
  <w:style w:type="character" w:styleId="FootnoteReference">
    <w:name w:val="footnote reference"/>
    <w:basedOn w:val="DefaultParagraphFont"/>
    <w:uiPriority w:val="99"/>
    <w:semiHidden/>
    <w:unhideWhenUsed/>
    <w:rsid w:val="0065217D"/>
    <w:rPr>
      <w:vertAlign w:val="superscript"/>
    </w:rPr>
  </w:style>
  <w:style w:type="paragraph" w:styleId="NormalWeb">
    <w:name w:val="Normal (Web)"/>
    <w:basedOn w:val="Normal"/>
    <w:uiPriority w:val="99"/>
    <w:semiHidden/>
    <w:unhideWhenUsed/>
    <w:rsid w:val="006917AF"/>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Strong">
    <w:name w:val="Strong"/>
    <w:basedOn w:val="DefaultParagraphFont"/>
    <w:uiPriority w:val="22"/>
    <w:qFormat/>
    <w:rsid w:val="006917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02039">
      <w:bodyDiv w:val="1"/>
      <w:marLeft w:val="0"/>
      <w:marRight w:val="0"/>
      <w:marTop w:val="0"/>
      <w:marBottom w:val="0"/>
      <w:divBdr>
        <w:top w:val="none" w:sz="0" w:space="0" w:color="auto"/>
        <w:left w:val="none" w:sz="0" w:space="0" w:color="auto"/>
        <w:bottom w:val="none" w:sz="0" w:space="0" w:color="auto"/>
        <w:right w:val="none" w:sz="0" w:space="0" w:color="auto"/>
      </w:divBdr>
    </w:div>
    <w:div w:id="131950183">
      <w:bodyDiv w:val="1"/>
      <w:marLeft w:val="0"/>
      <w:marRight w:val="0"/>
      <w:marTop w:val="0"/>
      <w:marBottom w:val="0"/>
      <w:divBdr>
        <w:top w:val="none" w:sz="0" w:space="0" w:color="auto"/>
        <w:left w:val="none" w:sz="0" w:space="0" w:color="auto"/>
        <w:bottom w:val="none" w:sz="0" w:space="0" w:color="auto"/>
        <w:right w:val="none" w:sz="0" w:space="0" w:color="auto"/>
      </w:divBdr>
    </w:div>
    <w:div w:id="294801336">
      <w:bodyDiv w:val="1"/>
      <w:marLeft w:val="0"/>
      <w:marRight w:val="0"/>
      <w:marTop w:val="0"/>
      <w:marBottom w:val="0"/>
      <w:divBdr>
        <w:top w:val="none" w:sz="0" w:space="0" w:color="auto"/>
        <w:left w:val="none" w:sz="0" w:space="0" w:color="auto"/>
        <w:bottom w:val="none" w:sz="0" w:space="0" w:color="auto"/>
        <w:right w:val="none" w:sz="0" w:space="0" w:color="auto"/>
      </w:divBdr>
    </w:div>
    <w:div w:id="442113182">
      <w:bodyDiv w:val="1"/>
      <w:marLeft w:val="0"/>
      <w:marRight w:val="0"/>
      <w:marTop w:val="0"/>
      <w:marBottom w:val="0"/>
      <w:divBdr>
        <w:top w:val="none" w:sz="0" w:space="0" w:color="auto"/>
        <w:left w:val="none" w:sz="0" w:space="0" w:color="auto"/>
        <w:bottom w:val="none" w:sz="0" w:space="0" w:color="auto"/>
        <w:right w:val="none" w:sz="0" w:space="0" w:color="auto"/>
      </w:divBdr>
    </w:div>
    <w:div w:id="777682900">
      <w:bodyDiv w:val="1"/>
      <w:marLeft w:val="0"/>
      <w:marRight w:val="0"/>
      <w:marTop w:val="0"/>
      <w:marBottom w:val="0"/>
      <w:divBdr>
        <w:top w:val="none" w:sz="0" w:space="0" w:color="auto"/>
        <w:left w:val="none" w:sz="0" w:space="0" w:color="auto"/>
        <w:bottom w:val="none" w:sz="0" w:space="0" w:color="auto"/>
        <w:right w:val="none" w:sz="0" w:space="0" w:color="auto"/>
      </w:divBdr>
    </w:div>
    <w:div w:id="1219853865">
      <w:bodyDiv w:val="1"/>
      <w:marLeft w:val="0"/>
      <w:marRight w:val="0"/>
      <w:marTop w:val="0"/>
      <w:marBottom w:val="0"/>
      <w:divBdr>
        <w:top w:val="none" w:sz="0" w:space="0" w:color="auto"/>
        <w:left w:val="none" w:sz="0" w:space="0" w:color="auto"/>
        <w:bottom w:val="none" w:sz="0" w:space="0" w:color="auto"/>
        <w:right w:val="none" w:sz="0" w:space="0" w:color="auto"/>
      </w:divBdr>
    </w:div>
    <w:div w:id="1232698902">
      <w:bodyDiv w:val="1"/>
      <w:marLeft w:val="0"/>
      <w:marRight w:val="0"/>
      <w:marTop w:val="0"/>
      <w:marBottom w:val="0"/>
      <w:divBdr>
        <w:top w:val="none" w:sz="0" w:space="0" w:color="auto"/>
        <w:left w:val="none" w:sz="0" w:space="0" w:color="auto"/>
        <w:bottom w:val="none" w:sz="0" w:space="0" w:color="auto"/>
        <w:right w:val="none" w:sz="0" w:space="0" w:color="auto"/>
      </w:divBdr>
    </w:div>
    <w:div w:id="1658419744">
      <w:bodyDiv w:val="1"/>
      <w:marLeft w:val="0"/>
      <w:marRight w:val="0"/>
      <w:marTop w:val="0"/>
      <w:marBottom w:val="0"/>
      <w:divBdr>
        <w:top w:val="none" w:sz="0" w:space="0" w:color="auto"/>
        <w:left w:val="none" w:sz="0" w:space="0" w:color="auto"/>
        <w:bottom w:val="none" w:sz="0" w:space="0" w:color="auto"/>
        <w:right w:val="none" w:sz="0" w:space="0" w:color="auto"/>
      </w:divBdr>
    </w:div>
    <w:div w:id="1688171094">
      <w:bodyDiv w:val="1"/>
      <w:marLeft w:val="0"/>
      <w:marRight w:val="0"/>
      <w:marTop w:val="0"/>
      <w:marBottom w:val="0"/>
      <w:divBdr>
        <w:top w:val="none" w:sz="0" w:space="0" w:color="auto"/>
        <w:left w:val="none" w:sz="0" w:space="0" w:color="auto"/>
        <w:bottom w:val="none" w:sz="0" w:space="0" w:color="auto"/>
        <w:right w:val="none" w:sz="0" w:space="0" w:color="auto"/>
      </w:divBdr>
      <w:divsChild>
        <w:div w:id="191311091">
          <w:marLeft w:val="0"/>
          <w:marRight w:val="0"/>
          <w:marTop w:val="0"/>
          <w:marBottom w:val="0"/>
          <w:divBdr>
            <w:top w:val="none" w:sz="0" w:space="0" w:color="auto"/>
            <w:left w:val="none" w:sz="0" w:space="0" w:color="auto"/>
            <w:bottom w:val="none" w:sz="0" w:space="0" w:color="auto"/>
            <w:right w:val="none" w:sz="0" w:space="0" w:color="auto"/>
          </w:divBdr>
        </w:div>
        <w:div w:id="2023434349">
          <w:marLeft w:val="0"/>
          <w:marRight w:val="0"/>
          <w:marTop w:val="75"/>
          <w:marBottom w:val="225"/>
          <w:divBdr>
            <w:top w:val="none" w:sz="0" w:space="0" w:color="auto"/>
            <w:left w:val="none" w:sz="0" w:space="0" w:color="auto"/>
            <w:bottom w:val="none" w:sz="0" w:space="0" w:color="auto"/>
            <w:right w:val="none" w:sz="0" w:space="0" w:color="auto"/>
          </w:divBdr>
        </w:div>
      </w:divsChild>
    </w:div>
    <w:div w:id="2008703134">
      <w:bodyDiv w:val="1"/>
      <w:marLeft w:val="0"/>
      <w:marRight w:val="0"/>
      <w:marTop w:val="0"/>
      <w:marBottom w:val="0"/>
      <w:divBdr>
        <w:top w:val="none" w:sz="0" w:space="0" w:color="auto"/>
        <w:left w:val="none" w:sz="0" w:space="0" w:color="auto"/>
        <w:bottom w:val="none" w:sz="0" w:space="0" w:color="auto"/>
        <w:right w:val="none" w:sz="0" w:space="0" w:color="auto"/>
      </w:divBdr>
    </w:div>
    <w:div w:id="2123574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05E3A-B498-49A4-9D45-0083F325F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2582</TotalTime>
  <Pages>6</Pages>
  <Words>2224</Words>
  <Characters>12234</Characters>
  <Application>Microsoft Office Word</Application>
  <DocSecurity>0</DocSecurity>
  <Lines>101</Lines>
  <Paragraphs>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Correa Fuenzalida</dc:creator>
  <cp:lastModifiedBy>Ricardo Correa Fuenzalida</cp:lastModifiedBy>
  <cp:revision>207</cp:revision>
  <cp:lastPrinted>2021-04-13T13:39:00Z</cp:lastPrinted>
  <dcterms:created xsi:type="dcterms:W3CDTF">2021-06-22T18:04:00Z</dcterms:created>
  <dcterms:modified xsi:type="dcterms:W3CDTF">2025-03-13T18:58:00Z</dcterms:modified>
</cp:coreProperties>
</file>